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92D72">
        <w:rPr>
          <w:rFonts w:ascii="Century Gothic" w:hAnsi="Century Gothic"/>
          <w:b/>
          <w:i/>
          <w:color w:val="000000" w:themeColor="text1"/>
          <w:sz w:val="20"/>
        </w:rPr>
        <w:t xml:space="preserve">December </w:t>
      </w:r>
      <w:r w:rsidR="008E600E">
        <w:rPr>
          <w:rFonts w:ascii="Century Gothic" w:hAnsi="Century Gothic"/>
          <w:b/>
          <w:i/>
          <w:color w:val="000000" w:themeColor="text1"/>
          <w:sz w:val="20"/>
        </w:rPr>
        <w:t>9</w:t>
      </w:r>
      <w:r w:rsidR="00092D7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GAMEFLY-STAPLES3019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SPRTSAU1415-</w:t>
            </w:r>
            <w:r w:rsidRPr="004F7DA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707623" w:rsidRPr="00410A41" w:rsidRDefault="000C458C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SPRTSAU1415-</w:t>
            </w:r>
            <w:r w:rsidRPr="004F7DA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ROBITUSS-COTY1001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4F7DA4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EXERGEN13-</w:t>
            </w:r>
            <w:r w:rsidRPr="004F7DA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-STAPLES3019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ROBITUSS-COTY1001</w:t>
            </w:r>
          </w:p>
        </w:tc>
        <w:tc>
          <w:tcPr>
            <w:tcW w:w="2196" w:type="dxa"/>
            <w:vAlign w:val="center"/>
          </w:tcPr>
          <w:p w:rsidR="00707623" w:rsidRPr="00410A41" w:rsidRDefault="008E600E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E600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AA423F" w:rsidRPr="00707623" w:rsidRDefault="004F7DA4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</w:t>
            </w:r>
            <w:r w:rsidRPr="004F7DA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</w:t>
            </w:r>
          </w:p>
        </w:tc>
        <w:tc>
          <w:tcPr>
            <w:tcW w:w="2196" w:type="dxa"/>
            <w:vAlign w:val="center"/>
          </w:tcPr>
          <w:p w:rsidR="00AA423F" w:rsidRPr="00707623" w:rsidRDefault="008E600E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-COTY1001</w:t>
            </w:r>
          </w:p>
        </w:tc>
        <w:tc>
          <w:tcPr>
            <w:tcW w:w="2196" w:type="dxa"/>
            <w:vAlign w:val="center"/>
          </w:tcPr>
          <w:p w:rsidR="00AA423F" w:rsidRPr="00707623" w:rsidRDefault="008E600E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AA423F" w:rsidRPr="00707623" w:rsidRDefault="004F7DA4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SPRTSAU1415-</w:t>
            </w:r>
            <w:r w:rsidRPr="004F7DA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4F7DA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4F7DA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4F7DA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4F7DA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4F7DA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F41C3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 AND BOLG0382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EXERGEN13-BOLG038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F41C30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EXERGEN13</w:t>
      </w:r>
      <w:r w:rsidR="004F7DA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 </w:t>
      </w:r>
      <w:r w:rsidR="004F7DA4" w:rsidRPr="004F7DA4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EXRAWL-BOLG0382</w:t>
      </w:r>
      <w:r w:rsidR="004F7DA4">
        <w:rPr>
          <w:rFonts w:ascii="Century Gothic" w:hAnsi="Century Gothic"/>
          <w:b/>
          <w:i/>
          <w:color w:val="000000" w:themeColor="text1"/>
          <w:sz w:val="16"/>
        </w:rPr>
        <w:t xml:space="preserve"> 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replace with </w:t>
      </w:r>
      <w:r w:rsidR="009F6807" w:rsidRPr="00F41C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EXERGEN13</w:t>
      </w:r>
      <w:r w:rsidR="009F680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</w:p>
    <w:p w:rsidR="00F41C30" w:rsidRDefault="004F7DA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Wednesday</w:t>
      </w:r>
      <w:r w:rsidR="00965190"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: </w:t>
      </w:r>
      <w:r w:rsidRPr="004F7DA4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SPRTSAU1415-BOLG038</w:t>
      </w:r>
      <w:r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 </w:t>
      </w:r>
      <w:r w:rsidR="00F41C30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0C458C"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SPORTSAU1415-EXRAWL</w:t>
      </w:r>
    </w:p>
    <w:p w:rsidR="0076520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Friday:  </w:t>
      </w:r>
      <w:r w:rsidR="000C458C" w:rsidRPr="004F7DA4">
        <w:rPr>
          <w:rFonts w:ascii="Century Gothic" w:hAnsi="Century Gothic"/>
          <w:b/>
          <w:i/>
          <w:color w:val="000000" w:themeColor="text1"/>
          <w:sz w:val="20"/>
          <w:szCs w:val="20"/>
          <w:highlight w:val="yellow"/>
        </w:rPr>
        <w:t>SPRTSAU1415-BOLG038</w:t>
      </w:r>
      <w:r w:rsidR="000C458C"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 </w:t>
      </w:r>
      <w:r w:rsidR="000C458C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0C458C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0C458C" w:rsidRPr="000C458C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SPORTSAU1415-EXRAWL</w:t>
      </w:r>
      <w:bookmarkStart w:id="0" w:name="_GoBack"/>
      <w:bookmarkEnd w:id="0"/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9F6807" w:rsidRPr="009F680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F6807"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2013-12-01T12:18:00Z</cp:lastPrinted>
  <dcterms:created xsi:type="dcterms:W3CDTF">2013-12-07T20:05:00Z</dcterms:created>
  <dcterms:modified xsi:type="dcterms:W3CDTF">2013-12-08T12:00:00Z</dcterms:modified>
</cp:coreProperties>
</file>