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1C2" w:rsidRPr="000A5E20" w:rsidRDefault="008019F8">
      <w:pPr>
        <w:pStyle w:val="MonthYear"/>
        <w:rPr>
          <w:rFonts w:ascii="Century Gothic" w:hAnsi="Century Gothic"/>
          <w:b/>
          <w:i/>
          <w:sz w:val="72"/>
          <w:szCs w:val="72"/>
        </w:rPr>
      </w:pPr>
      <w:r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MMMM \* MERGEFORMAT </w:instrTex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0A5E20" w:rsidRPr="000A5E20">
        <w:rPr>
          <w:rFonts w:ascii="Century Gothic" w:hAnsi="Century Gothic"/>
          <w:b/>
          <w:i/>
          <w:sz w:val="72"/>
          <w:szCs w:val="72"/>
        </w:rPr>
        <w:t>July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  <w:r w:rsidRPr="000A5E20">
        <w:rPr>
          <w:rFonts w:ascii="Century Gothic" w:hAnsi="Century Gothic"/>
          <w:b/>
          <w:i/>
          <w:sz w:val="72"/>
          <w:szCs w:val="72"/>
        </w:rPr>
        <w:t xml:space="preserve"> 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 yyyy   \* MERGEFORMAT </w:instrTex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0A5E20" w:rsidRPr="000A5E20">
        <w:rPr>
          <w:rFonts w:ascii="Century Gothic" w:hAnsi="Century Gothic"/>
          <w:b/>
          <w:i/>
          <w:sz w:val="72"/>
          <w:szCs w:val="72"/>
        </w:rPr>
        <w:t>2014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2082"/>
        <w:gridCol w:w="2088"/>
        <w:gridCol w:w="2090"/>
        <w:gridCol w:w="2088"/>
        <w:gridCol w:w="2090"/>
        <w:gridCol w:w="2090"/>
        <w:gridCol w:w="2088"/>
      </w:tblGrid>
      <w:tr w:rsidR="000A5E20" w:rsidRPr="000A5E20" w:rsidTr="000A5E20">
        <w:trPr>
          <w:trHeight w:val="288"/>
          <w:jc w:val="center"/>
        </w:trPr>
        <w:tc>
          <w:tcPr>
            <w:tcW w:w="20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Sunday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Monday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Tuesday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Wednesday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Thursday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Friday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Saturday</w:t>
            </w:r>
          </w:p>
        </w:tc>
      </w:tr>
      <w:tr w:rsidR="00E361C2" w:rsidRPr="000A5E20" w:rsidTr="000A5E20">
        <w:trPr>
          <w:trHeight w:hRule="exact" w:val="317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>Tuesday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“Sunday" 1 ""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>Tuesday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“Monday"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>Tuesday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“Tuesday"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="000A5E20"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0A5E20"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>Tuesday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“Wednesday"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="000A5E20"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0A5E20"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>Tuesday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= “Thursday"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="000A5E20"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0A5E20"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>Tuesday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“Friday"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="000A5E20"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>Tuesday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“Saturday"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7D2071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 w:rsidR="007D2071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7D2071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8019F8" w:rsidP="007D2071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7D2071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0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7D2071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42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7D2071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7D2071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ZIEBEN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70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210A4F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="000A5E20"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0A5E20"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0A5E20"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33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A0747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E361C2" w:rsidRPr="000A5E20" w:rsidRDefault="00E361C2">
      <w:pPr>
        <w:rPr>
          <w:rFonts w:ascii="Century Gothic" w:hAnsi="Century Gothic"/>
          <w:b/>
          <w:i/>
          <w:sz w:val="16"/>
          <w:szCs w:val="16"/>
        </w:rPr>
      </w:pPr>
    </w:p>
    <w:sectPr w:rsidR="00E361C2" w:rsidRPr="000A5E20" w:rsidSect="000A5E20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7/31/2014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7/1/2014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1"/>
  </w:docVars>
  <w:rsids>
    <w:rsidRoot w:val="000A5E20"/>
    <w:rsid w:val="000A5E20"/>
    <w:rsid w:val="00210A4F"/>
    <w:rsid w:val="00413EA6"/>
    <w:rsid w:val="005B4849"/>
    <w:rsid w:val="007D2071"/>
    <w:rsid w:val="008019F8"/>
    <w:rsid w:val="00E3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2012%20Calendar%20Basic_one%20month%20evergreen(2)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8DC3B0-5B75-4EA2-85BA-1E1DBEB71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evergreen(2)</Template>
  <TotalTime>59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Owner</dc:creator>
  <cp:lastModifiedBy>Owner</cp:lastModifiedBy>
  <cp:revision>3</cp:revision>
  <dcterms:created xsi:type="dcterms:W3CDTF">2014-06-12T15:26:00Z</dcterms:created>
  <dcterms:modified xsi:type="dcterms:W3CDTF">2014-06-26T18:46:00Z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