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B1158" w:rsidTr="000B115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158" w:rsidRDefault="00857A12" w:rsidP="000B1158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29968" cy="1572768"/>
                  <wp:effectExtent l="19050" t="19050" r="27940" b="279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968" cy="157276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863EF2" w:rsidRPr="007D29FA" w:rsidRDefault="00E913A8" w:rsidP="000B1158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Overview</w:t>
      </w:r>
      <w:r w:rsidR="002F3FB9">
        <w:rPr>
          <w:rFonts w:ascii="Century Gothic" w:hAnsi="Century Gothic"/>
          <w:b/>
          <w:i/>
          <w:sz w:val="20"/>
        </w:rPr>
        <w:t xml:space="preserve"> </w:t>
      </w:r>
    </w:p>
    <w:p w:rsidR="000B1158" w:rsidRDefault="006609C6" w:rsidP="000B115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</w:t>
      </w:r>
      <w:r w:rsidR="00857A12">
        <w:rPr>
          <w:rFonts w:ascii="Century Gothic" w:hAnsi="Century Gothic"/>
          <w:sz w:val="20"/>
        </w:rPr>
        <w:t>Energy Radio Network (ERN)</w:t>
      </w:r>
      <w:r w:rsidR="0049610E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consists of more than 400 network</w:t>
      </w:r>
      <w:r w:rsidR="0049610E">
        <w:rPr>
          <w:rFonts w:ascii="Century Gothic" w:hAnsi="Century Gothic"/>
          <w:sz w:val="20"/>
        </w:rPr>
        <w:t xml:space="preserve"> affiliates nationwide, reaching </w:t>
      </w:r>
      <w:r w:rsidR="00DF3083">
        <w:rPr>
          <w:rFonts w:ascii="Century Gothic" w:hAnsi="Century Gothic"/>
          <w:sz w:val="20"/>
        </w:rPr>
        <w:t>more than five-million listeners</w:t>
      </w:r>
      <w:r w:rsidR="0049610E">
        <w:rPr>
          <w:rFonts w:ascii="Century Gothic" w:hAnsi="Century Gothic"/>
          <w:sz w:val="20"/>
        </w:rPr>
        <w:t xml:space="preserve"> each week.  </w:t>
      </w:r>
      <w:r w:rsidR="00857A12">
        <w:rPr>
          <w:rFonts w:ascii="Century Gothic" w:hAnsi="Century Gothic"/>
          <w:sz w:val="20"/>
        </w:rPr>
        <w:t>ERN</w:t>
      </w:r>
      <w:r w:rsidR="0049610E">
        <w:rPr>
          <w:rFonts w:ascii="Century Gothic" w:hAnsi="Century Gothic"/>
          <w:sz w:val="20"/>
        </w:rPr>
        <w:t xml:space="preserve"> provides the oil and gas industry with a platform to educate Americans about</w:t>
      </w:r>
      <w:r w:rsidR="00DF3083">
        <w:rPr>
          <w:rFonts w:ascii="Century Gothic" w:hAnsi="Century Gothic"/>
          <w:sz w:val="20"/>
        </w:rPr>
        <w:t xml:space="preserve"> the myriad of ways that the oil and gas industry </w:t>
      </w:r>
      <w:r w:rsidR="00590C85">
        <w:rPr>
          <w:rFonts w:ascii="Century Gothic" w:hAnsi="Century Gothic"/>
          <w:sz w:val="20"/>
        </w:rPr>
        <w:t xml:space="preserve">enrich their </w:t>
      </w:r>
      <w:r w:rsidR="0049610E">
        <w:rPr>
          <w:rFonts w:ascii="Century Gothic" w:hAnsi="Century Gothic"/>
          <w:sz w:val="20"/>
        </w:rPr>
        <w:t xml:space="preserve">daily lives.  </w:t>
      </w:r>
    </w:p>
    <w:p w:rsidR="002F0EA6" w:rsidRDefault="002F0EA6" w:rsidP="000B1158">
      <w:pPr>
        <w:pStyle w:val="NoSpacing"/>
        <w:rPr>
          <w:rFonts w:ascii="Century Gothic" w:hAnsi="Century Gothic"/>
          <w:sz w:val="20"/>
        </w:rPr>
      </w:pPr>
    </w:p>
    <w:p w:rsidR="002F0EA6" w:rsidRPr="00FF7FA4" w:rsidRDefault="002F0EA6" w:rsidP="000B1158">
      <w:pPr>
        <w:pStyle w:val="NoSpacing"/>
        <w:rPr>
          <w:rFonts w:ascii="Century Gothic" w:hAnsi="Century Gothic"/>
          <w:b/>
          <w:i/>
          <w:sz w:val="20"/>
        </w:rPr>
      </w:pPr>
      <w:r w:rsidRPr="00FF7FA4">
        <w:rPr>
          <w:rFonts w:ascii="Century Gothic" w:hAnsi="Century Gothic"/>
          <w:b/>
          <w:i/>
          <w:sz w:val="20"/>
        </w:rPr>
        <w:t>“Oil &amp; Gas Radio Minute”</w:t>
      </w:r>
    </w:p>
    <w:p w:rsidR="00FF7FA4" w:rsidRDefault="00FF7FA4" w:rsidP="00FF7FA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This weekly feature will air on our network affiliates each week and will focus on oil and gas industry news and information of interest to average Americans.   The one-minute feature can include interviews with industry executives, experts, and profes</w:t>
      </w:r>
      <w:r w:rsidR="00DF3083">
        <w:rPr>
          <w:rFonts w:ascii="Century Gothic" w:hAnsi="Century Gothic"/>
          <w:sz w:val="20"/>
        </w:rPr>
        <w:t>sionals.  In addition, we’ll direct listeners to your web site for additional information about the oil and gas industry.</w:t>
      </w:r>
    </w:p>
    <w:p w:rsidR="00FF7FA4" w:rsidRDefault="00FF7FA4" w:rsidP="00FF7FA4">
      <w:pPr>
        <w:pStyle w:val="NoSpacing"/>
        <w:rPr>
          <w:rFonts w:ascii="Century Gothic" w:hAnsi="Century Gothic"/>
          <w:sz w:val="20"/>
        </w:rPr>
      </w:pPr>
    </w:p>
    <w:p w:rsidR="0049610E" w:rsidRPr="00DF3083" w:rsidRDefault="0049610E" w:rsidP="000B1158">
      <w:pPr>
        <w:pStyle w:val="NoSpacing"/>
        <w:rPr>
          <w:rFonts w:ascii="Century Gothic" w:hAnsi="Century Gothic"/>
          <w:b/>
          <w:i/>
          <w:sz w:val="20"/>
        </w:rPr>
      </w:pPr>
      <w:r w:rsidRPr="00DF3083">
        <w:rPr>
          <w:rFonts w:ascii="Century Gothic" w:hAnsi="Century Gothic"/>
          <w:b/>
          <w:i/>
          <w:sz w:val="20"/>
        </w:rPr>
        <w:t>Educate</w:t>
      </w:r>
    </w:p>
    <w:p w:rsidR="00DF3083" w:rsidRDefault="00DF3083" w:rsidP="00DF3083">
      <w:pPr>
        <w:pStyle w:val="NoSpacing"/>
        <w:tabs>
          <w:tab w:val="left" w:pos="795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Unfortunately, the public is not well educated on how the oil and gas industry impacts their daily lives through the delivery </w:t>
      </w:r>
      <w:r w:rsidR="00AE517E">
        <w:rPr>
          <w:rFonts w:ascii="Century Gothic" w:hAnsi="Century Gothic"/>
          <w:sz w:val="20"/>
        </w:rPr>
        <w:t xml:space="preserve">of </w:t>
      </w:r>
      <w:r>
        <w:rPr>
          <w:rFonts w:ascii="Century Gothic" w:hAnsi="Century Gothic"/>
          <w:sz w:val="20"/>
        </w:rPr>
        <w:t>clean, affordable energy.  Too often, the information that they do receive is in the form of sensationalized news coverage</w:t>
      </w:r>
      <w:r w:rsidR="00590C85">
        <w:rPr>
          <w:rFonts w:ascii="Century Gothic" w:hAnsi="Century Gothic"/>
          <w:sz w:val="20"/>
        </w:rPr>
        <w:t xml:space="preserve">; </w:t>
      </w:r>
      <w:r>
        <w:rPr>
          <w:rFonts w:ascii="Century Gothic" w:hAnsi="Century Gothic"/>
          <w:sz w:val="20"/>
        </w:rPr>
        <w:t xml:space="preserve">activist “journalists” with an </w:t>
      </w:r>
      <w:r w:rsidR="00590C85">
        <w:rPr>
          <w:rFonts w:ascii="Century Gothic" w:hAnsi="Century Gothic"/>
          <w:sz w:val="20"/>
        </w:rPr>
        <w:t>agenda to damage the industry; or the negative depiction of the industry in popular entertainment.</w:t>
      </w:r>
    </w:p>
    <w:p w:rsidR="00DF3083" w:rsidRDefault="00DF3083" w:rsidP="00DF3083">
      <w:pPr>
        <w:pStyle w:val="NoSpacing"/>
        <w:tabs>
          <w:tab w:val="left" w:pos="7952"/>
        </w:tabs>
        <w:rPr>
          <w:rFonts w:ascii="Century Gothic" w:hAnsi="Century Gothic"/>
          <w:sz w:val="20"/>
        </w:rPr>
      </w:pPr>
    </w:p>
    <w:p w:rsidR="00DF3083" w:rsidRDefault="00DF3083" w:rsidP="00DF3083">
      <w:pPr>
        <w:pStyle w:val="NoSpacing"/>
        <w:tabs>
          <w:tab w:val="left" w:pos="795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“</w:t>
      </w:r>
      <w:r w:rsidR="00857A12">
        <w:rPr>
          <w:rFonts w:ascii="Century Gothic" w:hAnsi="Century Gothic"/>
          <w:sz w:val="20"/>
        </w:rPr>
        <w:t>Energy Radio</w:t>
      </w:r>
      <w:r>
        <w:rPr>
          <w:rFonts w:ascii="Century Gothic" w:hAnsi="Century Gothic"/>
          <w:sz w:val="20"/>
        </w:rPr>
        <w:t xml:space="preserve"> Minute” will be designed to inform listeners about the real impact of the oil </w:t>
      </w:r>
      <w:r w:rsidR="00590C85">
        <w:rPr>
          <w:rFonts w:ascii="Century Gothic" w:hAnsi="Century Gothic"/>
          <w:sz w:val="20"/>
        </w:rPr>
        <w:t>and gas industry in their dai</w:t>
      </w:r>
      <w:r w:rsidR="004F2EDA">
        <w:rPr>
          <w:rFonts w:ascii="Century Gothic" w:hAnsi="Century Gothic"/>
          <w:sz w:val="20"/>
        </w:rPr>
        <w:t xml:space="preserve">ly lives with invaluable information that educates our audience about the oil and gas industry.  Our radio network reaches a wide-ranging audience of adults throughout the country and this presents the </w:t>
      </w:r>
      <w:r w:rsidR="00B70912">
        <w:rPr>
          <w:rFonts w:ascii="Century Gothic" w:hAnsi="Century Gothic"/>
          <w:sz w:val="20"/>
        </w:rPr>
        <w:t>industry with a unique opportunity to educate the public about the true benefits delivery daily by the oil and gas industry.</w:t>
      </w:r>
    </w:p>
    <w:p w:rsidR="0049610E" w:rsidRDefault="0049610E" w:rsidP="000B1158">
      <w:pPr>
        <w:pStyle w:val="NoSpacing"/>
        <w:rPr>
          <w:rFonts w:ascii="Century Gothic" w:hAnsi="Century Gothic"/>
          <w:sz w:val="20"/>
        </w:rPr>
      </w:pPr>
    </w:p>
    <w:p w:rsidR="0049610E" w:rsidRPr="00C07B1C" w:rsidRDefault="0049610E" w:rsidP="000B1158">
      <w:pPr>
        <w:pStyle w:val="NoSpacing"/>
        <w:rPr>
          <w:rFonts w:ascii="Century Gothic" w:hAnsi="Century Gothic"/>
          <w:b/>
          <w:i/>
          <w:sz w:val="20"/>
        </w:rPr>
      </w:pPr>
      <w:r w:rsidRPr="00C07B1C">
        <w:rPr>
          <w:rFonts w:ascii="Century Gothic" w:hAnsi="Century Gothic"/>
          <w:b/>
          <w:i/>
          <w:sz w:val="20"/>
        </w:rPr>
        <w:t>Energize</w:t>
      </w:r>
      <w:r w:rsidR="00DF3083" w:rsidRPr="00C07B1C">
        <w:rPr>
          <w:rFonts w:ascii="Century Gothic" w:hAnsi="Century Gothic"/>
          <w:b/>
          <w:i/>
          <w:sz w:val="20"/>
        </w:rPr>
        <w:t xml:space="preserve"> &amp; Activate</w:t>
      </w:r>
    </w:p>
    <w:p w:rsidR="00590C85" w:rsidRDefault="00430EED" w:rsidP="000B115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Informing and energizing our audience is not enough.  That’s why the “</w:t>
      </w:r>
      <w:r w:rsidR="00857A12">
        <w:rPr>
          <w:rFonts w:ascii="Century Gothic" w:hAnsi="Century Gothic"/>
          <w:sz w:val="20"/>
        </w:rPr>
        <w:t>Energy</w:t>
      </w:r>
      <w:r>
        <w:rPr>
          <w:rFonts w:ascii="Century Gothic" w:hAnsi="Century Gothic"/>
          <w:sz w:val="20"/>
        </w:rPr>
        <w:t xml:space="preserve"> Radio Minute” will include a call-to-action in each </w:t>
      </w:r>
      <w:r w:rsidR="00AC0C6D">
        <w:rPr>
          <w:rFonts w:ascii="Century Gothic" w:hAnsi="Century Gothic"/>
          <w:sz w:val="20"/>
        </w:rPr>
        <w:t xml:space="preserve">update, which includes visiting your web site; signing up for a newsletter; calling for more information; or calling their legislator, among others.  </w:t>
      </w:r>
    </w:p>
    <w:p w:rsidR="00950B22" w:rsidRDefault="00950B22" w:rsidP="000B1158">
      <w:pPr>
        <w:pStyle w:val="NoSpacing"/>
        <w:rPr>
          <w:rFonts w:ascii="Century Gothic" w:hAnsi="Century Gothic"/>
          <w:sz w:val="20"/>
        </w:rPr>
      </w:pPr>
    </w:p>
    <w:p w:rsidR="00950B22" w:rsidRPr="00A86518" w:rsidRDefault="00950B22" w:rsidP="000B1158">
      <w:pPr>
        <w:pStyle w:val="NoSpacing"/>
        <w:rPr>
          <w:rFonts w:ascii="Century Gothic" w:hAnsi="Century Gothic"/>
          <w:b/>
          <w:i/>
          <w:sz w:val="20"/>
        </w:rPr>
      </w:pPr>
      <w:r w:rsidRPr="00A86518">
        <w:rPr>
          <w:rFonts w:ascii="Century Gothic" w:hAnsi="Century Gothic"/>
          <w:b/>
          <w:i/>
          <w:sz w:val="20"/>
        </w:rPr>
        <w:t>Investment</w:t>
      </w:r>
    </w:p>
    <w:p w:rsidR="00950B22" w:rsidRDefault="00A86518" w:rsidP="000B115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</w:t>
      </w:r>
      <w:r w:rsidR="00AC0C6D">
        <w:rPr>
          <w:rFonts w:ascii="Century Gothic" w:hAnsi="Century Gothic"/>
          <w:sz w:val="20"/>
        </w:rPr>
        <w:t>an investment of $3</w:t>
      </w:r>
      <w:r w:rsidR="00857A12">
        <w:rPr>
          <w:rFonts w:ascii="Century Gothic" w:hAnsi="Century Gothic"/>
          <w:sz w:val="20"/>
        </w:rPr>
        <w:t>9,9</w:t>
      </w:r>
      <w:r w:rsidR="00AC0C6D">
        <w:rPr>
          <w:rFonts w:ascii="Century Gothic" w:hAnsi="Century Gothic"/>
          <w:sz w:val="20"/>
        </w:rPr>
        <w:t>00</w:t>
      </w:r>
      <w:r w:rsidR="000074AE">
        <w:rPr>
          <w:rFonts w:ascii="Century Gothic" w:hAnsi="Century Gothic"/>
          <w:sz w:val="20"/>
        </w:rPr>
        <w:t>, your company wi</w:t>
      </w:r>
      <w:r w:rsidR="00857A12">
        <w:rPr>
          <w:rFonts w:ascii="Century Gothic" w:hAnsi="Century Gothic"/>
          <w:sz w:val="20"/>
        </w:rPr>
        <w:t xml:space="preserve">ll sponsor two “Energy Radio </w:t>
      </w:r>
      <w:r w:rsidR="000074AE">
        <w:rPr>
          <w:rFonts w:ascii="Century Gothic" w:hAnsi="Century Gothic"/>
          <w:sz w:val="20"/>
        </w:rPr>
        <w:t>Minutes” each week for the next 52-weeks, or just $</w:t>
      </w:r>
      <w:r w:rsidR="00857A12">
        <w:rPr>
          <w:rFonts w:ascii="Century Gothic" w:hAnsi="Century Gothic"/>
          <w:sz w:val="20"/>
        </w:rPr>
        <w:t>365</w:t>
      </w:r>
      <w:r w:rsidR="000074AE">
        <w:rPr>
          <w:rFonts w:ascii="Century Gothic" w:hAnsi="Century Gothic"/>
          <w:sz w:val="20"/>
        </w:rPr>
        <w:t xml:space="preserve"> per update for the next year.  </w:t>
      </w:r>
    </w:p>
    <w:p w:rsidR="0049610E" w:rsidRDefault="0049610E" w:rsidP="000B1158">
      <w:pPr>
        <w:pStyle w:val="NoSpacing"/>
        <w:rPr>
          <w:rFonts w:ascii="Century Gothic" w:hAnsi="Century Gothic"/>
          <w:sz w:val="20"/>
        </w:rPr>
      </w:pPr>
    </w:p>
    <w:p w:rsidR="00590C85" w:rsidRDefault="00590C85" w:rsidP="000B1158">
      <w:pPr>
        <w:pStyle w:val="NoSpacing"/>
        <w:rPr>
          <w:rFonts w:ascii="Century Gothic" w:hAnsi="Century Gothic"/>
          <w:sz w:val="20"/>
        </w:rPr>
      </w:pPr>
    </w:p>
    <w:p w:rsidR="00590C85" w:rsidRDefault="00590C85" w:rsidP="000B1158">
      <w:pPr>
        <w:pStyle w:val="NoSpacing"/>
        <w:rPr>
          <w:rFonts w:ascii="Century Gothic" w:hAnsi="Century Gothic"/>
          <w:sz w:val="20"/>
        </w:rPr>
      </w:pPr>
    </w:p>
    <w:p w:rsidR="00590C85" w:rsidRPr="000B1158" w:rsidRDefault="00590C85" w:rsidP="000B1158">
      <w:pPr>
        <w:pStyle w:val="NoSpacing"/>
        <w:rPr>
          <w:rFonts w:ascii="Century Gothic" w:hAnsi="Century Gothic"/>
          <w:sz w:val="20"/>
        </w:rPr>
      </w:pPr>
    </w:p>
    <w:sectPr w:rsidR="00590C85" w:rsidRPr="000B11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23" w:rsidRDefault="00DA3223" w:rsidP="00AE517E">
      <w:pPr>
        <w:spacing w:after="0" w:line="240" w:lineRule="auto"/>
      </w:pPr>
      <w:r>
        <w:separator/>
      </w:r>
    </w:p>
  </w:endnote>
  <w:endnote w:type="continuationSeparator" w:id="0">
    <w:p w:rsidR="00DA3223" w:rsidRDefault="00DA3223" w:rsidP="00A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7E" w:rsidRDefault="00AE517E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7051"/>
      <w:gridCol w:w="2525"/>
    </w:tblGrid>
    <w:tr w:rsidR="00AE517E" w:rsidTr="00394753">
      <w:tc>
        <w:tcPr>
          <w:tcW w:w="4788" w:type="dxa"/>
          <w:shd w:val="clear" w:color="auto" w:fill="auto"/>
          <w:vAlign w:val="center"/>
        </w:tcPr>
        <w:tbl>
          <w:tblPr>
            <w:tblStyle w:val="TableGrid"/>
            <w:tblW w:w="6835" w:type="dxa"/>
            <w:tblLook w:val="04A0" w:firstRow="1" w:lastRow="0" w:firstColumn="1" w:lastColumn="0" w:noHBand="0" w:noVBand="1"/>
          </w:tblPr>
          <w:tblGrid>
            <w:gridCol w:w="2016"/>
            <w:gridCol w:w="2232"/>
            <w:gridCol w:w="2587"/>
          </w:tblGrid>
          <w:tr w:rsidR="00AE517E" w:rsidTr="00857A12">
            <w:tc>
              <w:tcPr>
                <w:tcW w:w="10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E517E" w:rsidRDefault="00857A12" w:rsidP="00394753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93688F9" wp14:editId="5C317F90">
                      <wp:extent cx="1133856" cy="877824"/>
                      <wp:effectExtent l="0" t="0" r="9525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3856" cy="8778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3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E517E" w:rsidRDefault="00AE517E" w:rsidP="00857A12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rFonts w:eastAsia="Times New Roman"/>
                    <w:noProof/>
                  </w:rPr>
                  <w:drawing>
                    <wp:inline distT="0" distB="0" distL="0" distR="0" wp14:anchorId="71F79F9C" wp14:editId="43B31DE1">
                      <wp:extent cx="1280160" cy="576072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c3f6841-bcf5-47fe-8985-3b118f9c9422" descr="cid:956ADC25-69FE-485B-BC43-25F37BD2AFE8@gowmedia.loc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0160" cy="5760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E517E" w:rsidRDefault="00AE517E" w:rsidP="00857A12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</w:tc>
            <w:tc>
              <w:tcPr>
                <w:tcW w:w="38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E517E" w:rsidRDefault="00AE517E" w:rsidP="00AE517E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</w:tc>
          </w:tr>
        </w:tbl>
        <w:p w:rsidR="00AE517E" w:rsidRPr="00F72FBC" w:rsidRDefault="00AE517E" w:rsidP="00394753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AE517E" w:rsidRDefault="00AE517E" w:rsidP="00394753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>5353 W. Alabama Street</w:t>
          </w:r>
        </w:p>
        <w:p w:rsidR="00AE517E" w:rsidRPr="00F72FBC" w:rsidRDefault="00AE517E" w:rsidP="00394753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>Suite 415</w:t>
          </w:r>
        </w:p>
        <w:p w:rsidR="00AE517E" w:rsidRPr="00F72FBC" w:rsidRDefault="00AE517E" w:rsidP="00394753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Houston, TX  77056</w:t>
          </w:r>
        </w:p>
        <w:p w:rsidR="00AE517E" w:rsidRPr="00F72FBC" w:rsidRDefault="00AE517E" w:rsidP="00394753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AE517E" w:rsidRPr="00F72FBC" w:rsidRDefault="00AE517E" w:rsidP="00394753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AE517E" w:rsidRPr="00F72FBC" w:rsidRDefault="00DA3223" w:rsidP="00394753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AE517E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AE517E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AE517E" w:rsidRDefault="00AE517E">
    <w:pPr>
      <w:pStyle w:val="Footer"/>
    </w:pPr>
  </w:p>
  <w:p w:rsidR="00AE517E" w:rsidRDefault="00AE5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23" w:rsidRDefault="00DA3223" w:rsidP="00AE517E">
      <w:pPr>
        <w:spacing w:after="0" w:line="240" w:lineRule="auto"/>
      </w:pPr>
      <w:r>
        <w:separator/>
      </w:r>
    </w:p>
  </w:footnote>
  <w:footnote w:type="continuationSeparator" w:id="0">
    <w:p w:rsidR="00DA3223" w:rsidRDefault="00DA3223" w:rsidP="00AE5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58"/>
    <w:rsid w:val="000074AE"/>
    <w:rsid w:val="00017064"/>
    <w:rsid w:val="000B1158"/>
    <w:rsid w:val="001218FF"/>
    <w:rsid w:val="001447D1"/>
    <w:rsid w:val="001A36E6"/>
    <w:rsid w:val="001A59F2"/>
    <w:rsid w:val="00201A0E"/>
    <w:rsid w:val="002F0EA6"/>
    <w:rsid w:val="002F3FB9"/>
    <w:rsid w:val="003016CA"/>
    <w:rsid w:val="00340064"/>
    <w:rsid w:val="00430EED"/>
    <w:rsid w:val="0049610E"/>
    <w:rsid w:val="004F2EDA"/>
    <w:rsid w:val="00590C85"/>
    <w:rsid w:val="005D405B"/>
    <w:rsid w:val="0062086A"/>
    <w:rsid w:val="006609C6"/>
    <w:rsid w:val="00693C7E"/>
    <w:rsid w:val="007D29FA"/>
    <w:rsid w:val="00857A12"/>
    <w:rsid w:val="00950B22"/>
    <w:rsid w:val="00A86518"/>
    <w:rsid w:val="00AC0C6D"/>
    <w:rsid w:val="00AE517E"/>
    <w:rsid w:val="00B618B2"/>
    <w:rsid w:val="00B70912"/>
    <w:rsid w:val="00C07B1C"/>
    <w:rsid w:val="00DA3223"/>
    <w:rsid w:val="00DF3083"/>
    <w:rsid w:val="00E913A8"/>
    <w:rsid w:val="00FD78A2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11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7E"/>
  </w:style>
  <w:style w:type="paragraph" w:styleId="Footer">
    <w:name w:val="footer"/>
    <w:basedOn w:val="Normal"/>
    <w:link w:val="FooterChar"/>
    <w:uiPriority w:val="99"/>
    <w:unhideWhenUsed/>
    <w:rsid w:val="00AE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7E"/>
  </w:style>
  <w:style w:type="character" w:styleId="Hyperlink">
    <w:name w:val="Hyperlink"/>
    <w:rsid w:val="00AE51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11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7E"/>
  </w:style>
  <w:style w:type="paragraph" w:styleId="Footer">
    <w:name w:val="footer"/>
    <w:basedOn w:val="Normal"/>
    <w:link w:val="FooterChar"/>
    <w:uiPriority w:val="99"/>
    <w:unhideWhenUsed/>
    <w:rsid w:val="00AE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7E"/>
  </w:style>
  <w:style w:type="character" w:styleId="Hyperlink">
    <w:name w:val="Hyperlink"/>
    <w:rsid w:val="00AE5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2013-08-02T20:59:00Z</cp:lastPrinted>
  <dcterms:created xsi:type="dcterms:W3CDTF">2013-03-05T11:39:00Z</dcterms:created>
  <dcterms:modified xsi:type="dcterms:W3CDTF">2014-01-16T17:01:00Z</dcterms:modified>
</cp:coreProperties>
</file>