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4CD" w:rsidRDefault="001B44CD" w:rsidP="00C93256">
      <w:pPr>
        <w:pStyle w:val="NoSpacing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United States Passing League</w:t>
      </w:r>
    </w:p>
    <w:p w:rsidR="001B44CD" w:rsidRDefault="001B44CD" w:rsidP="00C93256">
      <w:pPr>
        <w:pStyle w:val="NoSpacing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Muscle Milk 2012 Proposal</w:t>
      </w:r>
    </w:p>
    <w:p w:rsidR="009E66B6" w:rsidRDefault="009E66B6" w:rsidP="00C93256">
      <w:pPr>
        <w:pStyle w:val="NoSpacing"/>
        <w:rPr>
          <w:rFonts w:ascii="Century Gothic" w:hAnsi="Century Gothic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C93256" w:rsidRPr="00C93256" w:rsidTr="001D0CAC">
        <w:trPr>
          <w:trHeight w:val="450"/>
        </w:trPr>
        <w:tc>
          <w:tcPr>
            <w:tcW w:w="4392" w:type="dxa"/>
            <w:shd w:val="clear" w:color="auto" w:fill="D9D9D9" w:themeFill="background1" w:themeFillShade="D9"/>
            <w:vAlign w:val="center"/>
          </w:tcPr>
          <w:p w:rsidR="00C93256" w:rsidRPr="00AB4E38" w:rsidRDefault="00C93256" w:rsidP="001D0CAC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AB4E38">
              <w:rPr>
                <w:rFonts w:ascii="Century Gothic" w:hAnsi="Century Gothic"/>
                <w:b/>
                <w:i/>
                <w:u w:val="single"/>
              </w:rPr>
              <w:t>Overview</w:t>
            </w:r>
          </w:p>
        </w:tc>
        <w:tc>
          <w:tcPr>
            <w:tcW w:w="4392" w:type="dxa"/>
            <w:shd w:val="clear" w:color="auto" w:fill="D9D9D9" w:themeFill="background1" w:themeFillShade="D9"/>
            <w:vAlign w:val="center"/>
          </w:tcPr>
          <w:p w:rsidR="00C93256" w:rsidRPr="00AB4E38" w:rsidRDefault="00C93256" w:rsidP="001D0CAC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AB4E38">
              <w:rPr>
                <w:rFonts w:ascii="Century Gothic" w:hAnsi="Century Gothic"/>
                <w:b/>
                <w:i/>
                <w:u w:val="single"/>
              </w:rPr>
              <w:t>Implementation</w:t>
            </w:r>
          </w:p>
        </w:tc>
        <w:tc>
          <w:tcPr>
            <w:tcW w:w="4392" w:type="dxa"/>
            <w:shd w:val="clear" w:color="auto" w:fill="D9D9D9" w:themeFill="background1" w:themeFillShade="D9"/>
            <w:vAlign w:val="center"/>
          </w:tcPr>
          <w:p w:rsidR="001D0CAC" w:rsidRPr="00AB4E38" w:rsidRDefault="00C93256" w:rsidP="001D0CAC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AB4E38">
              <w:rPr>
                <w:rFonts w:ascii="Century Gothic" w:hAnsi="Century Gothic"/>
                <w:b/>
                <w:i/>
                <w:u w:val="single"/>
              </w:rPr>
              <w:t>Investment</w:t>
            </w:r>
          </w:p>
        </w:tc>
      </w:tr>
      <w:tr w:rsidR="00C93256" w:rsidTr="00DF3C06">
        <w:tc>
          <w:tcPr>
            <w:tcW w:w="4392" w:type="dxa"/>
          </w:tcPr>
          <w:p w:rsidR="001B44CD" w:rsidRDefault="001B44CD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United States Passing League (USPL) will manage passing league events </w:t>
            </w:r>
            <w:r w:rsidR="00C93256">
              <w:rPr>
                <w:rFonts w:ascii="Century Gothic" w:hAnsi="Century Gothic"/>
                <w:sz w:val="20"/>
                <w:szCs w:val="20"/>
              </w:rPr>
              <w:t xml:space="preserve">that will feature </w:t>
            </w:r>
            <w:r w:rsidR="003D1354">
              <w:rPr>
                <w:rFonts w:ascii="Century Gothic" w:hAnsi="Century Gothic"/>
                <w:sz w:val="20"/>
                <w:szCs w:val="20"/>
              </w:rPr>
              <w:t>high schoo</w:t>
            </w:r>
            <w:r>
              <w:rPr>
                <w:rFonts w:ascii="Century Gothic" w:hAnsi="Century Gothic"/>
                <w:sz w:val="20"/>
                <w:szCs w:val="20"/>
              </w:rPr>
              <w:t>l football teams in key markets for Muscle Milk.</w:t>
            </w:r>
          </w:p>
          <w:p w:rsidR="001B44CD" w:rsidRDefault="001B44CD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1B44CD" w:rsidRDefault="001B44CD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USPL will target for participation those high schools with a socioeconomic profile that matches Muscle Milk’s target audience.  </w:t>
            </w:r>
            <w:r w:rsidR="00E80492">
              <w:rPr>
                <w:rFonts w:ascii="Century Gothic" w:hAnsi="Century Gothic"/>
                <w:sz w:val="20"/>
                <w:szCs w:val="20"/>
              </w:rPr>
              <w:t>USPL will secure host sites in communities that also fit the marketing profile for Muscle Milk.</w:t>
            </w:r>
          </w:p>
          <w:p w:rsidR="003D1354" w:rsidRDefault="003D1354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E80492" w:rsidRDefault="00E80492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Each single-day, 16-20 team tournament will feature pool play to determine the seeding for the single-elimination championship round.  Teams will be guaranteed to play a minimum of four games.  </w:t>
            </w:r>
            <w:r w:rsidR="001B077A">
              <w:rPr>
                <w:rFonts w:ascii="Century Gothic" w:hAnsi="Century Gothic"/>
                <w:sz w:val="20"/>
                <w:szCs w:val="20"/>
              </w:rPr>
              <w:t xml:space="preserve">The games will feature seven players per side and only passing of the football is allowed.  </w:t>
            </w:r>
          </w:p>
          <w:p w:rsidR="00E80492" w:rsidRDefault="00E80492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C93256" w:rsidRDefault="00E80492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USPL drafts rules for each particular event that ensures the teams are participating in compliance with the rules set down by each state’s governing body for high school athletics.</w:t>
            </w:r>
            <w:r w:rsidR="001B077A">
              <w:rPr>
                <w:rFonts w:ascii="Century Gothic" w:hAnsi="Century Gothic"/>
                <w:sz w:val="20"/>
                <w:szCs w:val="20"/>
              </w:rPr>
              <w:t xml:space="preserve">  </w:t>
            </w:r>
          </w:p>
          <w:p w:rsidR="003D1354" w:rsidRDefault="003D1354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1B077A" w:rsidRDefault="00173E06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USPL’s events for Muscle Milk will be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fun events that ensures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product distribution to the target audience and an opportunity for building relationships with the high school coaches and student-athletes.</w:t>
            </w:r>
          </w:p>
          <w:p w:rsidR="00C93256" w:rsidRPr="00C93256" w:rsidRDefault="00C93256" w:rsidP="00360B93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dxa"/>
          </w:tcPr>
          <w:p w:rsidR="00CB0B61" w:rsidRDefault="001B44CD" w:rsidP="00C93256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USPL assumes the responsibility </w:t>
            </w:r>
            <w:r w:rsidR="00C93256">
              <w:rPr>
                <w:rFonts w:ascii="Century Gothic" w:hAnsi="Century Gothic"/>
                <w:sz w:val="20"/>
              </w:rPr>
              <w:t>for the management of the passin</w:t>
            </w:r>
            <w:r w:rsidR="001B077A">
              <w:rPr>
                <w:rFonts w:ascii="Century Gothic" w:hAnsi="Century Gothic"/>
                <w:sz w:val="20"/>
              </w:rPr>
              <w:t xml:space="preserve">g </w:t>
            </w:r>
            <w:r>
              <w:rPr>
                <w:rFonts w:ascii="Century Gothic" w:hAnsi="Century Gothic"/>
                <w:sz w:val="20"/>
              </w:rPr>
              <w:t>league campaign in each market</w:t>
            </w:r>
            <w:r w:rsidR="00CB0B61">
              <w:rPr>
                <w:rFonts w:ascii="Century Gothic" w:hAnsi="Century Gothic"/>
                <w:sz w:val="20"/>
              </w:rPr>
              <w:t>, including:</w:t>
            </w:r>
          </w:p>
          <w:p w:rsidR="00CB0B61" w:rsidRDefault="00CB0B61" w:rsidP="00C93256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Designing campaign logo;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securing host sites;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contacting, securing participating teams;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developing school database;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drafting league rules;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hiring state-certified officials;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writing, distributing press releases;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writing, distributing direct mail to schools;</w:t>
            </w:r>
          </w:p>
          <w:p w:rsidR="00CB0B61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renting host site for event;</w:t>
            </w:r>
          </w:p>
          <w:p w:rsidR="00E80492" w:rsidRPr="000A7328" w:rsidRDefault="00E80492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insuring participants against injury;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serving as campaign point of contact;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providing tee-shirts to competitors;</w:t>
            </w:r>
          </w:p>
          <w:p w:rsidR="00AB4E3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providing trophies for winning teams;</w:t>
            </w:r>
          </w:p>
          <w:p w:rsidR="008815AD" w:rsidRPr="000A7328" w:rsidRDefault="008815AD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providing giveaway for competitors;</w:t>
            </w:r>
          </w:p>
          <w:p w:rsidR="00AB4E38" w:rsidRPr="000A7328" w:rsidRDefault="00E80492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assisting on-site marketing activities</w:t>
            </w:r>
            <w:r w:rsidR="00AB4E38" w:rsidRPr="000A7328">
              <w:rPr>
                <w:rFonts w:ascii="Century Gothic" w:hAnsi="Century Gothic"/>
                <w:sz w:val="16"/>
              </w:rPr>
              <w:t>;</w:t>
            </w:r>
            <w:r>
              <w:rPr>
                <w:rFonts w:ascii="Century Gothic" w:hAnsi="Century Gothic"/>
                <w:sz w:val="16"/>
              </w:rPr>
              <w:t xml:space="preserve">  and,</w:t>
            </w:r>
          </w:p>
          <w:p w:rsidR="00AB4E38" w:rsidRPr="000A7328" w:rsidRDefault="00E80492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proofErr w:type="gramStart"/>
            <w:r>
              <w:rPr>
                <w:rFonts w:ascii="Century Gothic" w:hAnsi="Century Gothic"/>
                <w:sz w:val="16"/>
              </w:rPr>
              <w:t>managing</w:t>
            </w:r>
            <w:proofErr w:type="gramEnd"/>
            <w:r>
              <w:rPr>
                <w:rFonts w:ascii="Century Gothic" w:hAnsi="Century Gothic"/>
                <w:sz w:val="16"/>
              </w:rPr>
              <w:t xml:space="preserve"> the event.</w:t>
            </w: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16"/>
              </w:rPr>
            </w:pPr>
          </w:p>
          <w:p w:rsidR="00E80492" w:rsidRPr="00E80492" w:rsidRDefault="001D0CAC" w:rsidP="00AB4E3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The USPL secures a host site, date for the event, and partners with a high school coach on the ground in each market.  </w:t>
            </w: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campaign would begin immediately with the logo development, securing host sites, and making contacts with the schools.</w:t>
            </w: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1D0CAC" w:rsidRP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target date of the tourname</w:t>
            </w:r>
            <w:r w:rsidR="001D0CAC">
              <w:rPr>
                <w:rFonts w:ascii="Century Gothic" w:hAnsi="Century Gothic"/>
                <w:sz w:val="20"/>
              </w:rPr>
              <w:t>nts would be in June - July 2012</w:t>
            </w:r>
            <w:r>
              <w:rPr>
                <w:rFonts w:ascii="Century Gothic" w:hAnsi="Century Gothic"/>
                <w:sz w:val="20"/>
              </w:rPr>
              <w:t>.  June is the preferred month, due to the weather, but we can stretch into July, if necessary.</w:t>
            </w:r>
            <w:r w:rsidR="001D0CAC">
              <w:rPr>
                <w:rFonts w:ascii="Century Gothic" w:hAnsi="Century Gothic"/>
                <w:sz w:val="20"/>
              </w:rPr>
              <w:t xml:space="preserve">  For certain markets, there may be an advantage to consider hosting events in the late fall, early winter after the conclusion of the football season.</w:t>
            </w:r>
          </w:p>
          <w:p w:rsidR="00CB0B61" w:rsidRPr="00AB4E38" w:rsidRDefault="00CB0B61" w:rsidP="00AB4E38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4392" w:type="dxa"/>
          </w:tcPr>
          <w:p w:rsidR="001D0CAC" w:rsidRDefault="001D0CAC" w:rsidP="001D0CAC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Muscle Milk’s title sponsorship ensures exclusivity in the “anything that goes into the body” sponsorship category.  This eliminates a gray area in regards to your sponsorship and protects Muscle Milk’s brand identity.</w:t>
            </w:r>
          </w:p>
          <w:p w:rsidR="00C93256" w:rsidRDefault="00C93256" w:rsidP="001D0CAC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1D0CAC" w:rsidRDefault="001D0CAC" w:rsidP="001D0CAC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USPL has the right to secure secondary sponsorships to Muscle Milk event.  To ensure brand integrity, Muscle Milk must approve all secondary sponsors.</w:t>
            </w:r>
          </w:p>
          <w:p w:rsidR="00173E06" w:rsidRDefault="00173E06" w:rsidP="001D0CAC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1425DA" w:rsidRDefault="00173E06" w:rsidP="00173E06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From our experience, teams will bring 20-25 players for each event.  For each USPL event, we expect 320-500 participating student-athletes.  </w:t>
            </w:r>
          </w:p>
          <w:p w:rsidR="001425DA" w:rsidRDefault="001425DA" w:rsidP="00173E06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0753F0" w:rsidRDefault="000753F0" w:rsidP="00173E06">
            <w:pPr>
              <w:pStyle w:val="NoSpacing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sz w:val="20"/>
              </w:rPr>
              <w:t>If Muscle Milk title sponsors four events in 2012, then we can reasonably expect 1,280-2,000 participating student-athletes.  That total does not include coaches, administrators, or fans in attendance at the events.</w:t>
            </w:r>
          </w:p>
          <w:p w:rsidR="000753F0" w:rsidRDefault="000753F0" w:rsidP="00173E06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0753F0" w:rsidRDefault="000753F0" w:rsidP="00173E06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For each 16-20 team USPL event, we require an investment of $5,500.  </w:t>
            </w:r>
          </w:p>
          <w:p w:rsidR="000753F0" w:rsidRDefault="000753F0" w:rsidP="00173E06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173E06" w:rsidRPr="00C93256" w:rsidRDefault="000753F0" w:rsidP="00173E06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For the title sponsorship of four tournaments in 2012, the USPL requires Muscle Milk to make an investment of $22,000.</w:t>
            </w:r>
            <w:r w:rsidR="00173E06">
              <w:rPr>
                <w:rFonts w:ascii="Century Gothic" w:hAnsi="Century Gothic"/>
                <w:sz w:val="20"/>
              </w:rPr>
              <w:t xml:space="preserve"> </w:t>
            </w:r>
          </w:p>
        </w:tc>
      </w:tr>
    </w:tbl>
    <w:p w:rsidR="00C93256" w:rsidRPr="00C93256" w:rsidRDefault="00C93256" w:rsidP="00C93256">
      <w:pPr>
        <w:pStyle w:val="NoSpacing"/>
        <w:rPr>
          <w:rFonts w:ascii="Century Gothic" w:hAnsi="Century Gothic"/>
        </w:rPr>
      </w:pPr>
    </w:p>
    <w:sectPr w:rsidR="00C93256" w:rsidRPr="00C93256" w:rsidSect="00360B93">
      <w:pgSz w:w="15840" w:h="12240" w:orient="landscape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11F5"/>
    <w:multiLevelType w:val="hybridMultilevel"/>
    <w:tmpl w:val="31EE0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169BA"/>
    <w:multiLevelType w:val="hybridMultilevel"/>
    <w:tmpl w:val="C102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63EE2"/>
    <w:multiLevelType w:val="hybridMultilevel"/>
    <w:tmpl w:val="3514B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1166C"/>
    <w:multiLevelType w:val="hybridMultilevel"/>
    <w:tmpl w:val="C516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56"/>
    <w:rsid w:val="000367CE"/>
    <w:rsid w:val="00072BCA"/>
    <w:rsid w:val="000753F0"/>
    <w:rsid w:val="000A7328"/>
    <w:rsid w:val="0012365C"/>
    <w:rsid w:val="001425DA"/>
    <w:rsid w:val="00173E06"/>
    <w:rsid w:val="00187D0B"/>
    <w:rsid w:val="001A36E6"/>
    <w:rsid w:val="001B077A"/>
    <w:rsid w:val="001B44CD"/>
    <w:rsid w:val="001D0CAC"/>
    <w:rsid w:val="0030258C"/>
    <w:rsid w:val="00360B93"/>
    <w:rsid w:val="003D1354"/>
    <w:rsid w:val="00482564"/>
    <w:rsid w:val="005543B1"/>
    <w:rsid w:val="0062086A"/>
    <w:rsid w:val="008076E2"/>
    <w:rsid w:val="008815AD"/>
    <w:rsid w:val="009E66B6"/>
    <w:rsid w:val="00AB4E38"/>
    <w:rsid w:val="00B4612D"/>
    <w:rsid w:val="00C93256"/>
    <w:rsid w:val="00CA333E"/>
    <w:rsid w:val="00CB0B61"/>
    <w:rsid w:val="00DF3C06"/>
    <w:rsid w:val="00E8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256"/>
    <w:pPr>
      <w:spacing w:after="0" w:line="240" w:lineRule="auto"/>
    </w:pPr>
  </w:style>
  <w:style w:type="table" w:styleId="TableGrid">
    <w:name w:val="Table Grid"/>
    <w:basedOn w:val="TableNormal"/>
    <w:uiPriority w:val="59"/>
    <w:rsid w:val="00C93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256"/>
    <w:pPr>
      <w:spacing w:after="0" w:line="240" w:lineRule="auto"/>
    </w:pPr>
  </w:style>
  <w:style w:type="table" w:styleId="TableGrid">
    <w:name w:val="Table Grid"/>
    <w:basedOn w:val="TableNormal"/>
    <w:uiPriority w:val="59"/>
    <w:rsid w:val="00C93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2012-01-30T20:23:00Z</cp:lastPrinted>
  <dcterms:created xsi:type="dcterms:W3CDTF">2012-01-30T09:02:00Z</dcterms:created>
  <dcterms:modified xsi:type="dcterms:W3CDTF">2012-01-30T20:49:00Z</dcterms:modified>
</cp:coreProperties>
</file>