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E071BF" w:rsidP="00C93256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 xml:space="preserve">U.S. Army </w:t>
      </w:r>
      <w:r w:rsidR="00700F79">
        <w:rPr>
          <w:rFonts w:ascii="Century Gothic" w:hAnsi="Century Gothic"/>
          <w:b/>
          <w:i/>
        </w:rPr>
        <w:t xml:space="preserve">Kansas City </w:t>
      </w:r>
      <w:r>
        <w:rPr>
          <w:rFonts w:ascii="Century Gothic" w:hAnsi="Century Gothic"/>
          <w:b/>
          <w:i/>
        </w:rPr>
        <w:t xml:space="preserve">Recruiting </w:t>
      </w:r>
      <w:r w:rsidR="00700F79">
        <w:rPr>
          <w:rFonts w:ascii="Century Gothic" w:hAnsi="Century Gothic"/>
          <w:b/>
          <w:i/>
        </w:rPr>
        <w:t>Battalion – Missouri &amp; Kansas</w:t>
      </w:r>
    </w:p>
    <w:p w:rsidR="00C93256" w:rsidRDefault="00C93256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</w:t>
            </w:r>
            <w:r w:rsidR="00700F79">
              <w:rPr>
                <w:rFonts w:ascii="Century Gothic" w:hAnsi="Century Gothic"/>
                <w:sz w:val="20"/>
                <w:szCs w:val="20"/>
              </w:rPr>
              <w:t>The games will be governed by our rules that conform to the off-season competition guidelines for each state.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 title sponsorship with our passing league gives you exclusivity among in the military sponsorship category.  We will brand this as </w:t>
            </w:r>
            <w:r w:rsidR="00700F79">
              <w:rPr>
                <w:rFonts w:ascii="Century Gothic" w:hAnsi="Century Gothic"/>
                <w:sz w:val="20"/>
              </w:rPr>
              <w:t>a U.S. Army 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700F79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U.S. Army </w:t>
            </w:r>
            <w:r w:rsidR="003D1354">
              <w:rPr>
                <w:rFonts w:ascii="Century Gothic" w:hAnsi="Century Gothic"/>
                <w:sz w:val="20"/>
              </w:rPr>
              <w:t xml:space="preserve">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Default="000A7328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 xml:space="preserve">In addition, we will set aside time during the day for each team to attend a 15-20 minute presentation about the opportunities available to them in the </w:t>
            </w:r>
            <w:r w:rsidR="00700F79">
              <w:rPr>
                <w:rFonts w:ascii="Century Gothic" w:hAnsi="Century Gothic"/>
                <w:sz w:val="20"/>
              </w:rPr>
              <w:t>Army</w:t>
            </w:r>
            <w:r>
              <w:rPr>
                <w:rFonts w:ascii="Century Gothic" w:hAnsi="Century Gothic"/>
                <w:sz w:val="20"/>
              </w:rPr>
              <w:t>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</w:t>
            </w:r>
            <w:r w:rsidR="00700F79">
              <w:rPr>
                <w:rFonts w:ascii="Century Gothic" w:hAnsi="Century Gothic"/>
                <w:sz w:val="20"/>
              </w:rPr>
              <w:t>2</w:t>
            </w:r>
            <w:r>
              <w:rPr>
                <w:rFonts w:ascii="Century Gothic" w:hAnsi="Century Gothic"/>
                <w:sz w:val="20"/>
              </w:rPr>
              <w:t>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700F79">
              <w:rPr>
                <w:rFonts w:ascii="Century Gothic" w:hAnsi="Century Gothic"/>
                <w:sz w:val="20"/>
              </w:rPr>
              <w:t xml:space="preserve"> and help build, strengthen relationships with your high schools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EF4DAE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</w:t>
            </w:r>
            <w:r w:rsidR="00EF4DAE">
              <w:rPr>
                <w:rFonts w:ascii="Century Gothic" w:hAnsi="Century Gothic"/>
                <w:sz w:val="20"/>
              </w:rPr>
              <w:t>9,500.</w:t>
            </w:r>
          </w:p>
          <w:p w:rsidR="00700F79" w:rsidRDefault="00700F79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</w:p>
          <w:p w:rsidR="003D1354" w:rsidRDefault="00700F79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In South Carolina, in 2011, the Palmetto Passing League had 525 student-athletes competing and generated 418 leads</w:t>
            </w:r>
            <w:r w:rsidR="00EF4DAE">
              <w:rPr>
                <w:rFonts w:ascii="Century Gothic" w:hAnsi="Century Gothic"/>
                <w:sz w:val="20"/>
              </w:rPr>
              <w:t xml:space="preserve"> for the Florence Recruiting Company.</w:t>
            </w:r>
          </w:p>
          <w:p w:rsidR="00E01AEF" w:rsidRDefault="00E01AEF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E01AEF" w:rsidRDefault="00E01AEF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E01AEF" w:rsidRDefault="00E01AEF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EF4DAE" w:rsidRDefault="00EF4DAE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0"/>
              <w:gridCol w:w="986"/>
              <w:gridCol w:w="1116"/>
              <w:gridCol w:w="1064"/>
            </w:tblGrid>
            <w:tr w:rsidR="00EF4DAE" w:rsidRPr="00EF4DAE" w:rsidTr="00EF4DAE">
              <w:tc>
                <w:tcPr>
                  <w:tcW w:w="1000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State</w:t>
                  </w:r>
                </w:p>
              </w:tc>
              <w:tc>
                <w:tcPr>
                  <w:tcW w:w="986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Teams</w:t>
                  </w:r>
                </w:p>
              </w:tc>
              <w:tc>
                <w:tcPr>
                  <w:tcW w:w="1116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064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EF4DAE" w:rsidTr="00EF4DAE">
              <w:tc>
                <w:tcPr>
                  <w:tcW w:w="1000" w:type="dxa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Kansas</w:t>
                  </w:r>
                </w:p>
              </w:tc>
              <w:tc>
                <w:tcPr>
                  <w:tcW w:w="986" w:type="dxa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EF4DAE">
                    <w:rPr>
                      <w:rFonts w:ascii="Century Gothic" w:hAnsi="Century Gothic"/>
                      <w:sz w:val="16"/>
                    </w:rPr>
                    <w:t>16</w:t>
                  </w:r>
                </w:p>
              </w:tc>
              <w:tc>
                <w:tcPr>
                  <w:tcW w:w="1116" w:type="dxa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240-320 +</w:t>
                  </w:r>
                </w:p>
              </w:tc>
              <w:tc>
                <w:tcPr>
                  <w:tcW w:w="1064" w:type="dxa"/>
                  <w:vAlign w:val="center"/>
                </w:tcPr>
                <w:p w:rsidR="00EF4DAE" w:rsidRPr="00EF4DAE" w:rsidRDefault="00EF4DAE" w:rsidP="00EF4DA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$9,500.00</w:t>
                  </w:r>
                </w:p>
              </w:tc>
            </w:tr>
            <w:tr w:rsidR="00EF4DAE" w:rsidTr="00EF4DAE">
              <w:tc>
                <w:tcPr>
                  <w:tcW w:w="1000" w:type="dxa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EF4DAE">
                    <w:rPr>
                      <w:rFonts w:ascii="Century Gothic" w:hAnsi="Century Gothic"/>
                      <w:sz w:val="16"/>
                    </w:rPr>
                    <w:t>Missouri</w:t>
                  </w:r>
                </w:p>
              </w:tc>
              <w:tc>
                <w:tcPr>
                  <w:tcW w:w="986" w:type="dxa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sz w:val="16"/>
                      <w:u w:val="single"/>
                    </w:rPr>
                    <w:t>16</w:t>
                  </w:r>
                </w:p>
              </w:tc>
              <w:tc>
                <w:tcPr>
                  <w:tcW w:w="1116" w:type="dxa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sz w:val="16"/>
                      <w:u w:val="single"/>
                    </w:rPr>
                    <w:t>240-320 +</w:t>
                  </w:r>
                </w:p>
              </w:tc>
              <w:tc>
                <w:tcPr>
                  <w:tcW w:w="1064" w:type="dxa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  <w:u w:val="single"/>
                    </w:rPr>
                  </w:pPr>
                  <w:r w:rsidRPr="00EF4DAE">
                    <w:rPr>
                      <w:rFonts w:ascii="Century Gothic" w:hAnsi="Century Gothic"/>
                      <w:sz w:val="16"/>
                      <w:u w:val="single"/>
                    </w:rPr>
                    <w:t>$9,500.00</w:t>
                  </w:r>
                </w:p>
              </w:tc>
            </w:tr>
            <w:tr w:rsidR="00EF4DAE" w:rsidTr="00EF4DAE">
              <w:tc>
                <w:tcPr>
                  <w:tcW w:w="1000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986" w:type="dxa"/>
                  <w:shd w:val="clear" w:color="auto" w:fill="BFBFBF" w:themeFill="background1" w:themeFillShade="BF"/>
                  <w:vAlign w:val="center"/>
                </w:tcPr>
                <w:p w:rsidR="00EF4DAE" w:rsidRP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32</w:t>
                  </w:r>
                </w:p>
              </w:tc>
              <w:tc>
                <w:tcPr>
                  <w:tcW w:w="1116" w:type="dxa"/>
                  <w:shd w:val="clear" w:color="auto" w:fill="BFBFBF" w:themeFill="background1" w:themeFillShade="BF"/>
                  <w:vAlign w:val="center"/>
                </w:tcPr>
                <w:p w:rsid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480-640+</w:t>
                  </w:r>
                </w:p>
              </w:tc>
              <w:tc>
                <w:tcPr>
                  <w:tcW w:w="1064" w:type="dxa"/>
                  <w:shd w:val="clear" w:color="auto" w:fill="BFBFBF" w:themeFill="background1" w:themeFillShade="BF"/>
                  <w:vAlign w:val="center"/>
                </w:tcPr>
                <w:p w:rsidR="00EF4DAE" w:rsidRDefault="00EF4DAE" w:rsidP="00761DD4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>
                    <w:rPr>
                      <w:rFonts w:ascii="Century Gothic" w:hAnsi="Century Gothic"/>
                      <w:sz w:val="16"/>
                    </w:rPr>
                    <w:t>$19,000.00</w:t>
                  </w:r>
                </w:p>
              </w:tc>
            </w:tr>
          </w:tbl>
          <w:p w:rsidR="00EF4DAE" w:rsidRDefault="00EF4DAE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EF4DAE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A36E6"/>
    <w:rsid w:val="001B077A"/>
    <w:rsid w:val="00295946"/>
    <w:rsid w:val="002F329A"/>
    <w:rsid w:val="0030258C"/>
    <w:rsid w:val="00360B93"/>
    <w:rsid w:val="003D1354"/>
    <w:rsid w:val="0062086A"/>
    <w:rsid w:val="00621050"/>
    <w:rsid w:val="00700F79"/>
    <w:rsid w:val="008C7E78"/>
    <w:rsid w:val="00AB4E38"/>
    <w:rsid w:val="00B4612D"/>
    <w:rsid w:val="00C93256"/>
    <w:rsid w:val="00CB0B61"/>
    <w:rsid w:val="00DF3C06"/>
    <w:rsid w:val="00E01AEF"/>
    <w:rsid w:val="00E071BF"/>
    <w:rsid w:val="00E97E04"/>
    <w:rsid w:val="00E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2011-10-13T18:19:00Z</cp:lastPrinted>
  <dcterms:created xsi:type="dcterms:W3CDTF">2011-10-13T17:35:00Z</dcterms:created>
  <dcterms:modified xsi:type="dcterms:W3CDTF">2011-10-13T23:20:00Z</dcterms:modified>
</cp:coreProperties>
</file>