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7F5E0E" w:rsidRDefault="00937E4F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 xml:space="preserve">Ponte </w:t>
      </w:r>
      <w:proofErr w:type="spellStart"/>
      <w:r>
        <w:rPr>
          <w:rFonts w:ascii="Century Gothic" w:hAnsi="Century Gothic"/>
          <w:b/>
          <w:i/>
          <w:sz w:val="36"/>
        </w:rPr>
        <w:t>Vedra’s</w:t>
      </w:r>
      <w:proofErr w:type="spellEnd"/>
      <w:r>
        <w:rPr>
          <w:rFonts w:ascii="Century Gothic" w:hAnsi="Century Gothic"/>
          <w:b/>
          <w:i/>
          <w:sz w:val="36"/>
        </w:rPr>
        <w:t xml:space="preserve"> Beau Beech</w:t>
      </w:r>
      <w:r w:rsidR="007F5E0E">
        <w:rPr>
          <w:rFonts w:ascii="Century Gothic" w:hAnsi="Century Gothic"/>
          <w:b/>
          <w:i/>
          <w:sz w:val="36"/>
        </w:rPr>
        <w:t xml:space="preserve"> voted </w:t>
      </w:r>
    </w:p>
    <w:p w:rsidR="0096053C" w:rsidRPr="00B646AF" w:rsidRDefault="007F5E0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 for Florida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>high school basketball players in Georgia</w:t>
      </w:r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 xml:space="preserve">CONTACT:  Mike </w:t>
      </w:r>
      <w:proofErr w:type="spellStart"/>
      <w:r w:rsidRPr="00244DAC">
        <w:rPr>
          <w:rFonts w:ascii="Century Gothic" w:hAnsi="Century Gothic"/>
          <w:b/>
          <w:i/>
          <w:sz w:val="20"/>
        </w:rPr>
        <w:t>Sinnott</w:t>
      </w:r>
      <w:proofErr w:type="spellEnd"/>
    </w:p>
    <w:p w:rsidR="00244DAC" w:rsidRPr="00244DAC" w:rsidRDefault="00937E4F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8 December 2011</w:t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B40698">
        <w:rPr>
          <w:rFonts w:ascii="Century Gothic" w:hAnsi="Century Gothic"/>
          <w:b/>
          <w:i/>
          <w:sz w:val="20"/>
        </w:rPr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336</w:t>
      </w:r>
      <w:r w:rsidRPr="00DB10A3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>Recruiting Squadron is</w:t>
      </w:r>
      <w:r w:rsidR="0096053C">
        <w:rPr>
          <w:rFonts w:ascii="Century Gothic" w:hAnsi="Century Gothic"/>
          <w:sz w:val="20"/>
          <w:szCs w:val="20"/>
        </w:rPr>
        <w:t xml:space="preserve"> honored to announce the </w:t>
      </w:r>
      <w:r w:rsidR="00937E4F">
        <w:rPr>
          <w:rFonts w:ascii="Century Gothic" w:hAnsi="Century Gothic"/>
          <w:sz w:val="20"/>
          <w:szCs w:val="20"/>
        </w:rPr>
        <w:t xml:space="preserve">Ponte </w:t>
      </w:r>
      <w:proofErr w:type="spellStart"/>
      <w:r w:rsidR="00937E4F">
        <w:rPr>
          <w:rFonts w:ascii="Century Gothic" w:hAnsi="Century Gothic"/>
          <w:sz w:val="20"/>
          <w:szCs w:val="20"/>
        </w:rPr>
        <w:t>Vedra’s</w:t>
      </w:r>
      <w:proofErr w:type="spellEnd"/>
      <w:r w:rsidR="00937E4F">
        <w:rPr>
          <w:rFonts w:ascii="Century Gothic" w:hAnsi="Century Gothic"/>
          <w:sz w:val="20"/>
          <w:szCs w:val="20"/>
        </w:rPr>
        <w:t xml:space="preserve"> Beau Beech</w:t>
      </w:r>
      <w:r w:rsidR="007F5E0E">
        <w:rPr>
          <w:rFonts w:ascii="Century Gothic" w:hAnsi="Century Gothic"/>
          <w:sz w:val="20"/>
          <w:szCs w:val="20"/>
        </w:rPr>
        <w:t xml:space="preserve"> is the U.S. Air Force High Flyer of the Week as the best boy’s high school basketball player in Florida.  </w:t>
      </w:r>
      <w:r w:rsidR="00937E4F">
        <w:rPr>
          <w:rFonts w:ascii="Century Gothic" w:hAnsi="Century Gothic"/>
          <w:sz w:val="20"/>
          <w:szCs w:val="20"/>
        </w:rPr>
        <w:t xml:space="preserve">Beech scored 45 points in Ponte </w:t>
      </w:r>
      <w:proofErr w:type="spellStart"/>
      <w:r w:rsidR="00937E4F">
        <w:rPr>
          <w:rFonts w:ascii="Century Gothic" w:hAnsi="Century Gothic"/>
          <w:sz w:val="20"/>
          <w:szCs w:val="20"/>
        </w:rPr>
        <w:t>Vedra’s</w:t>
      </w:r>
      <w:proofErr w:type="spellEnd"/>
      <w:r w:rsidR="00937E4F">
        <w:rPr>
          <w:rFonts w:ascii="Century Gothic" w:hAnsi="Century Gothic"/>
          <w:sz w:val="20"/>
          <w:szCs w:val="20"/>
        </w:rPr>
        <w:t xml:space="preserve"> 64-60 win over </w:t>
      </w:r>
      <w:proofErr w:type="spellStart"/>
      <w:r w:rsidR="00937E4F">
        <w:rPr>
          <w:rFonts w:ascii="Century Gothic" w:hAnsi="Century Gothic"/>
          <w:sz w:val="20"/>
          <w:szCs w:val="20"/>
        </w:rPr>
        <w:t>Nease</w:t>
      </w:r>
      <w:proofErr w:type="spellEnd"/>
      <w:r w:rsidR="00937E4F">
        <w:rPr>
          <w:rFonts w:ascii="Century Gothic" w:hAnsi="Century Gothic"/>
          <w:sz w:val="20"/>
          <w:szCs w:val="20"/>
        </w:rPr>
        <w:t xml:space="preserve"> and dropped 34 points in a 79-63 win over Bartram Trail.  As a weekly winner, Beech </w:t>
      </w:r>
      <w:bookmarkStart w:id="0" w:name="_GoBack"/>
      <w:bookmarkEnd w:id="0"/>
      <w:r w:rsidR="007F5E0E">
        <w:rPr>
          <w:rFonts w:ascii="Century Gothic" w:hAnsi="Century Gothic"/>
          <w:sz w:val="20"/>
          <w:szCs w:val="20"/>
        </w:rPr>
        <w:t>is a finalist for the U.S. Air Force High Flyer of the Year.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7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951A48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>
        <w:rPr>
          <w:rFonts w:ascii="Century Gothic" w:hAnsi="Century Gothic"/>
          <w:sz w:val="20"/>
          <w:szCs w:val="20"/>
        </w:rPr>
        <w:t xml:space="preserve">ruits quality airmen from a </w:t>
      </w:r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190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>s the U.S. Air Force High Flyers campaign for the 336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 xml:space="preserve">Recruiting Squadron.  For more information, please contact TSF Radio Network’s Mike </w:t>
      </w:r>
      <w:proofErr w:type="spellStart"/>
      <w:r w:rsidRPr="00244DAC">
        <w:rPr>
          <w:rFonts w:ascii="Century Gothic" w:hAnsi="Century Gothic"/>
          <w:sz w:val="20"/>
          <w:szCs w:val="20"/>
        </w:rPr>
        <w:t>Sinnott</w:t>
      </w:r>
      <w:proofErr w:type="spellEnd"/>
      <w:r w:rsidRPr="00244DAC">
        <w:rPr>
          <w:rFonts w:ascii="Century Gothic" w:hAnsi="Century Gothic"/>
          <w:sz w:val="20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1A36E6"/>
    <w:rsid w:val="0021446E"/>
    <w:rsid w:val="00244DAC"/>
    <w:rsid w:val="002B75A4"/>
    <w:rsid w:val="002E56FD"/>
    <w:rsid w:val="002F0AE6"/>
    <w:rsid w:val="002F4E06"/>
    <w:rsid w:val="00337CAD"/>
    <w:rsid w:val="003570D2"/>
    <w:rsid w:val="003807F5"/>
    <w:rsid w:val="00495F6A"/>
    <w:rsid w:val="004E263E"/>
    <w:rsid w:val="00562EE9"/>
    <w:rsid w:val="0062086A"/>
    <w:rsid w:val="006B1F44"/>
    <w:rsid w:val="006E38D6"/>
    <w:rsid w:val="006F7696"/>
    <w:rsid w:val="007F5E0E"/>
    <w:rsid w:val="00937E4F"/>
    <w:rsid w:val="00951A48"/>
    <w:rsid w:val="0096053C"/>
    <w:rsid w:val="009B06FC"/>
    <w:rsid w:val="00A033AB"/>
    <w:rsid w:val="00A23DE3"/>
    <w:rsid w:val="00A7203F"/>
    <w:rsid w:val="00AA4084"/>
    <w:rsid w:val="00B162E0"/>
    <w:rsid w:val="00B40698"/>
    <w:rsid w:val="00B40726"/>
    <w:rsid w:val="00B646AF"/>
    <w:rsid w:val="00B646B5"/>
    <w:rsid w:val="00BC5CE3"/>
    <w:rsid w:val="00C13D99"/>
    <w:rsid w:val="00C53932"/>
    <w:rsid w:val="00C960A1"/>
    <w:rsid w:val="00D154D3"/>
    <w:rsid w:val="00DB10A3"/>
    <w:rsid w:val="00DC0604"/>
    <w:rsid w:val="00EB61C7"/>
    <w:rsid w:val="00EF2D99"/>
    <w:rsid w:val="00F438F6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2011-11-20T19:42:00Z</cp:lastPrinted>
  <dcterms:created xsi:type="dcterms:W3CDTF">2011-12-08T19:59:00Z</dcterms:created>
  <dcterms:modified xsi:type="dcterms:W3CDTF">2011-12-08T20:00:00Z</dcterms:modified>
</cp:coreProperties>
</file>