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BE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To: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Bill Adee</w:t>
      </w: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From: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Mike Sinnott</w:t>
      </w: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Re: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Memorandum of Understanding – Radio</w:t>
      </w: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Date: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</w:r>
      <w:r w:rsidR="00716CA5">
        <w:rPr>
          <w:rFonts w:ascii="Century Gothic" w:hAnsi="Century Gothic"/>
          <w:b/>
          <w:i/>
          <w:sz w:val="20"/>
        </w:rPr>
        <w:t>May 1, 2019</w:t>
      </w:r>
    </w:p>
    <w:p w:rsidR="00697931" w:rsidRDefault="00697931" w:rsidP="00697931">
      <w:pPr>
        <w:pStyle w:val="NoSpacing"/>
        <w:rPr>
          <w:rFonts w:ascii="Century Gothic" w:hAnsi="Century Gothic"/>
          <w:sz w:val="20"/>
        </w:rPr>
      </w:pPr>
    </w:p>
    <w:p w:rsidR="00705BDC" w:rsidRDefault="002F22AC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is a memorandum of understanding that outlines </w:t>
      </w:r>
      <w:r w:rsidR="006C2D36">
        <w:rPr>
          <w:rFonts w:ascii="Century Gothic" w:hAnsi="Century Gothic"/>
          <w:sz w:val="20"/>
        </w:rPr>
        <w:t xml:space="preserve">a partnership between the parties of </w:t>
      </w:r>
      <w:r>
        <w:rPr>
          <w:rFonts w:ascii="Century Gothic" w:hAnsi="Century Gothic"/>
          <w:sz w:val="20"/>
        </w:rPr>
        <w:t xml:space="preserve">Gow Media </w:t>
      </w:r>
      <w:r w:rsidR="00893B0F">
        <w:rPr>
          <w:rFonts w:ascii="Century Gothic" w:hAnsi="Century Gothic"/>
          <w:sz w:val="20"/>
        </w:rPr>
        <w:t xml:space="preserve">(Gow) </w:t>
      </w:r>
      <w:r>
        <w:rPr>
          <w:rFonts w:ascii="Century Gothic" w:hAnsi="Century Gothic"/>
          <w:sz w:val="20"/>
        </w:rPr>
        <w:t>and the Vegas Stats and Information Network</w:t>
      </w:r>
      <w:r w:rsidR="0033635B">
        <w:rPr>
          <w:rFonts w:ascii="Century Gothic" w:hAnsi="Century Gothic"/>
          <w:sz w:val="20"/>
        </w:rPr>
        <w:t xml:space="preserve"> (VSiN)</w:t>
      </w:r>
      <w:r>
        <w:rPr>
          <w:rFonts w:ascii="Century Gothic" w:hAnsi="Century Gothic"/>
          <w:sz w:val="20"/>
        </w:rPr>
        <w:t>.  Under this partnership, Gow Media would handle all aspects of the launch of the radio platform of the VSiN brand, tentatively to be called Point Spread Radio</w:t>
      </w:r>
      <w:r w:rsidR="00893B0F">
        <w:rPr>
          <w:rFonts w:ascii="Century Gothic" w:hAnsi="Century Gothic"/>
          <w:sz w:val="20"/>
        </w:rPr>
        <w:t xml:space="preserve"> (PSR)</w:t>
      </w:r>
      <w:r>
        <w:rPr>
          <w:rFonts w:ascii="Century Gothic" w:hAnsi="Century Gothic"/>
          <w:sz w:val="20"/>
        </w:rPr>
        <w:t xml:space="preserve">.  Gow Media will manage affiliate sales, </w:t>
      </w:r>
      <w:r w:rsidR="00B67733">
        <w:rPr>
          <w:rFonts w:ascii="Century Gothic" w:hAnsi="Century Gothic"/>
          <w:sz w:val="20"/>
        </w:rPr>
        <w:t xml:space="preserve">affiliate relations, </w:t>
      </w:r>
      <w:r>
        <w:rPr>
          <w:rFonts w:ascii="Century Gothic" w:hAnsi="Century Gothic"/>
          <w:sz w:val="20"/>
        </w:rPr>
        <w:t xml:space="preserve">advertising sales, distribution of shows, </w:t>
      </w:r>
      <w:r w:rsidR="009C17B4">
        <w:rPr>
          <w:rFonts w:ascii="Century Gothic" w:hAnsi="Century Gothic"/>
          <w:sz w:val="20"/>
        </w:rPr>
        <w:t xml:space="preserve">and accounts receivable/payable for VSiN programming that airs on terrestrial radio.  </w:t>
      </w:r>
    </w:p>
    <w:p w:rsidR="0033635B" w:rsidRDefault="0033635B" w:rsidP="00697931">
      <w:pPr>
        <w:pStyle w:val="NoSpacing"/>
        <w:rPr>
          <w:rFonts w:ascii="Century Gothic" w:hAnsi="Century Gothic"/>
          <w:sz w:val="20"/>
        </w:rPr>
      </w:pPr>
    </w:p>
    <w:p w:rsidR="0033635B" w:rsidRDefault="00893B0F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</w:t>
      </w:r>
      <w:r w:rsidR="0033635B">
        <w:rPr>
          <w:rFonts w:ascii="Century Gothic" w:hAnsi="Century Gothic"/>
          <w:sz w:val="20"/>
        </w:rPr>
        <w:t>or the management of the network, Gow Media will receive a monthly fee of $12,056</w:t>
      </w:r>
      <w:r>
        <w:rPr>
          <w:rFonts w:ascii="Century Gothic" w:hAnsi="Century Gothic"/>
          <w:sz w:val="20"/>
        </w:rPr>
        <w:t>, which is broken down to the following costs:</w:t>
      </w:r>
    </w:p>
    <w:p w:rsidR="00893B0F" w:rsidRDefault="00893B0F" w:rsidP="00697931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1706"/>
        <w:gridCol w:w="1779"/>
        <w:gridCol w:w="1347"/>
        <w:gridCol w:w="2029"/>
        <w:gridCol w:w="1348"/>
      </w:tblGrid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Operations</w:t>
            </w: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Traffic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$1,806.00</w:t>
            </w:r>
            <w:r w:rsidR="00716CA5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Counterpoint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$500.00</w:t>
            </w:r>
            <w:r w:rsidR="00716CA5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T-1 Line to NYC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$1,000.00</w:t>
            </w:r>
            <w:r w:rsidR="00716CA5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WWO Satellite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$5,000.00</w:t>
            </w:r>
            <w:r w:rsidR="00716CA5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Affiliations</w:t>
            </w: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$3,750.00</w:t>
            </w:r>
            <w:r w:rsidR="00716CA5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  <w:shd w:val="clear" w:color="auto" w:fill="auto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1706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  <w:r w:rsidRPr="00FF276E">
              <w:rPr>
                <w:rFonts w:ascii="Century Gothic" w:hAnsi="Century Gothic"/>
                <w:sz w:val="20"/>
                <w:highlight w:val="yellow"/>
              </w:rPr>
              <w:t>TOTAL</w:t>
            </w:r>
          </w:p>
        </w:tc>
        <w:tc>
          <w:tcPr>
            <w:tcW w:w="1779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1347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2029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  <w:r w:rsidRPr="00FF276E">
              <w:rPr>
                <w:rFonts w:ascii="Century Gothic" w:hAnsi="Century Gothic"/>
                <w:sz w:val="20"/>
                <w:highlight w:val="yellow"/>
              </w:rPr>
              <w:t>$12,056.00</w:t>
            </w:r>
            <w:r w:rsidR="00716CA5">
              <w:rPr>
                <w:rFonts w:ascii="Century Gothic" w:hAnsi="Century Gothic"/>
                <w:sz w:val="20"/>
                <w:highlight w:val="yellow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893B0F" w:rsidRDefault="00893B0F" w:rsidP="00697931">
      <w:pPr>
        <w:pStyle w:val="NoSpacing"/>
        <w:rPr>
          <w:rFonts w:ascii="Century Gothic" w:hAnsi="Century Gothic"/>
          <w:sz w:val="20"/>
        </w:rPr>
      </w:pPr>
    </w:p>
    <w:p w:rsidR="00893B0F" w:rsidRDefault="00893B0F" w:rsidP="00697931">
      <w:pPr>
        <w:pStyle w:val="NoSpacing"/>
        <w:rPr>
          <w:rFonts w:ascii="Century Gothic" w:hAnsi="Century Gothic"/>
          <w:sz w:val="20"/>
        </w:rPr>
      </w:pP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is an increase of $2,056.00 from your proposed $10,000/month base.  The additional cost is for the affiliate sales and management function of the partnership.  </w:t>
      </w:r>
      <w:r w:rsidR="00716CA5">
        <w:rPr>
          <w:rFonts w:ascii="Century Gothic" w:hAnsi="Century Gothic"/>
          <w:sz w:val="20"/>
        </w:rPr>
        <w:t>Our plan is to have</w:t>
      </w:r>
      <w:r w:rsidR="004209EF">
        <w:rPr>
          <w:rFonts w:ascii="Century Gothic" w:hAnsi="Century Gothic"/>
          <w:sz w:val="20"/>
        </w:rPr>
        <w:t xml:space="preserve"> two people assigned specifically to affiliate sales and relations during this partnership.</w:t>
      </w: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</w:p>
    <w:p w:rsidR="00893B0F" w:rsidRDefault="00736685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Gow Media agrees to an increase of $5,000.00 per mo</w:t>
      </w:r>
      <w:r w:rsidR="001946A3">
        <w:rPr>
          <w:rFonts w:ascii="Century Gothic" w:hAnsi="Century Gothic"/>
          <w:sz w:val="20"/>
        </w:rPr>
        <w:t xml:space="preserve">nth when affiliation is secured in </w:t>
      </w:r>
      <w:r w:rsidR="0095652A">
        <w:rPr>
          <w:rFonts w:ascii="Century Gothic" w:hAnsi="Century Gothic"/>
          <w:sz w:val="20"/>
        </w:rPr>
        <w:t>four</w:t>
      </w:r>
      <w:r w:rsidR="004209EF">
        <w:rPr>
          <w:rFonts w:ascii="Century Gothic" w:hAnsi="Century Gothic"/>
          <w:sz w:val="20"/>
        </w:rPr>
        <w:t xml:space="preserve"> (4)</w:t>
      </w:r>
      <w:r w:rsidR="0095652A">
        <w:rPr>
          <w:rFonts w:ascii="Century Gothic" w:hAnsi="Century Gothic"/>
          <w:sz w:val="20"/>
        </w:rPr>
        <w:t xml:space="preserve"> </w:t>
      </w:r>
      <w:r w:rsidR="001946A3">
        <w:rPr>
          <w:rFonts w:ascii="Century Gothic" w:hAnsi="Century Gothic"/>
          <w:sz w:val="20"/>
        </w:rPr>
        <w:t xml:space="preserve">of the following markets, as defined by Nielsen television Designated Market Areas (DMAs).  </w:t>
      </w:r>
      <w:r>
        <w:rPr>
          <w:rFonts w:ascii="Century Gothic" w:hAnsi="Century Gothic"/>
          <w:sz w:val="20"/>
        </w:rPr>
        <w:t xml:space="preserve">Network radio is sold </w:t>
      </w:r>
      <w:r w:rsidR="00CA05F9">
        <w:rPr>
          <w:rFonts w:ascii="Century Gothic" w:hAnsi="Century Gothic"/>
          <w:sz w:val="20"/>
        </w:rPr>
        <w:t>using Nielsen telev</w:t>
      </w:r>
      <w:r w:rsidR="00716CA5">
        <w:rPr>
          <w:rFonts w:ascii="Century Gothic" w:hAnsi="Century Gothic"/>
          <w:sz w:val="20"/>
        </w:rPr>
        <w:t>ision DMAs, so this is our preferred measurement</w:t>
      </w:r>
      <w:r w:rsidR="00CA05F9">
        <w:rPr>
          <w:rFonts w:ascii="Century Gothic" w:hAnsi="Century Gothic"/>
          <w:sz w:val="20"/>
        </w:rPr>
        <w:t>. To qualify as a “cleared” station under the provisions of this arrange</w:t>
      </w:r>
      <w:r w:rsidR="001F517B">
        <w:rPr>
          <w:rFonts w:ascii="Century Gothic" w:hAnsi="Century Gothic"/>
          <w:sz w:val="20"/>
        </w:rPr>
        <w:t>ment a station in each market mu</w:t>
      </w:r>
      <w:bookmarkStart w:id="0" w:name="_GoBack"/>
      <w:bookmarkEnd w:id="0"/>
      <w:r w:rsidR="00CA05F9">
        <w:rPr>
          <w:rFonts w:ascii="Century Gothic" w:hAnsi="Century Gothic"/>
          <w:sz w:val="20"/>
        </w:rPr>
        <w:t>st carry 10 hours of programming for the cl</w:t>
      </w:r>
      <w:r w:rsidR="00716CA5">
        <w:rPr>
          <w:rFonts w:ascii="Century Gothic" w:hAnsi="Century Gothic"/>
          <w:sz w:val="20"/>
        </w:rPr>
        <w:t xml:space="preserve">earance to qualify for </w:t>
      </w:r>
      <w:r w:rsidR="00CA05F9">
        <w:rPr>
          <w:rFonts w:ascii="Century Gothic" w:hAnsi="Century Gothic"/>
          <w:sz w:val="20"/>
        </w:rPr>
        <w:t xml:space="preserve">the additional $5,000.00 per month.  </w:t>
      </w:r>
      <w:r w:rsidR="00716CA5">
        <w:rPr>
          <w:rFonts w:ascii="Century Gothic" w:hAnsi="Century Gothic"/>
          <w:sz w:val="20"/>
        </w:rPr>
        <w:t>Here’ are the markets with DMA rankings: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-New York City (#1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-Chicago (#3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-Philadelphia (#4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-Washington, D.C./Hagerstown, MD (#6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-Houston (#7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-Detroit (#14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-Pittsburgh (#24 DMA);</w:t>
      </w:r>
      <w:r w:rsidR="00CA05F9">
        <w:rPr>
          <w:rFonts w:ascii="Century Gothic" w:hAnsi="Century Gothic"/>
          <w:sz w:val="20"/>
        </w:rPr>
        <w:t xml:space="preserve"> and,</w:t>
      </w:r>
    </w:p>
    <w:p w:rsidR="001946A3" w:rsidRDefault="00CA05F9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-Las Vegas (#39 DMA).</w:t>
      </w: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Although Atlantic City is radio market #154, the radio stations there fall into the Philadelphia DMA for network radio purposes.  </w:t>
      </w:r>
      <w:r w:rsidR="0095652A">
        <w:rPr>
          <w:rFonts w:ascii="Century Gothic" w:hAnsi="Century Gothic"/>
          <w:sz w:val="20"/>
        </w:rPr>
        <w:t xml:space="preserve">That cuts the list from nine markets to eight, since Atlantic City </w:t>
      </w:r>
      <w:r w:rsidR="0095652A">
        <w:rPr>
          <w:rFonts w:ascii="Century Gothic" w:hAnsi="Century Gothic"/>
          <w:sz w:val="20"/>
        </w:rPr>
        <w:lastRenderedPageBreak/>
        <w:t>is part of the Philadelphia</w:t>
      </w:r>
      <w:r w:rsidR="006C2D36">
        <w:rPr>
          <w:rFonts w:ascii="Century Gothic" w:hAnsi="Century Gothic"/>
          <w:sz w:val="20"/>
        </w:rPr>
        <w:t xml:space="preserve"> DMA</w:t>
      </w:r>
      <w:r w:rsidR="0095652A">
        <w:rPr>
          <w:rFonts w:ascii="Century Gothic" w:hAnsi="Century Gothic"/>
          <w:sz w:val="20"/>
        </w:rPr>
        <w:t>.  With four clearances, that’s a 50-percent clearance rate in eight of your key markets.</w:t>
      </w:r>
    </w:p>
    <w:p w:rsidR="004209EF" w:rsidRDefault="004209EF" w:rsidP="00697931">
      <w:pPr>
        <w:pStyle w:val="NoSpacing"/>
        <w:rPr>
          <w:rFonts w:ascii="Century Gothic" w:hAnsi="Century Gothic"/>
          <w:sz w:val="20"/>
        </w:rPr>
      </w:pPr>
    </w:p>
    <w:p w:rsidR="007B6312" w:rsidRDefault="0095652A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thirty-two teams of the National Football League are located in </w:t>
      </w:r>
      <w:r w:rsidR="007B6312">
        <w:rPr>
          <w:rFonts w:ascii="Century Gothic" w:hAnsi="Century Gothic"/>
          <w:sz w:val="20"/>
        </w:rPr>
        <w:t>30</w:t>
      </w:r>
      <w:r>
        <w:rPr>
          <w:rFonts w:ascii="Century Gothic" w:hAnsi="Century Gothic"/>
          <w:sz w:val="20"/>
        </w:rPr>
        <w:t xml:space="preserve"> television DMAs.  </w:t>
      </w:r>
      <w:r w:rsidR="007B6312">
        <w:rPr>
          <w:rFonts w:ascii="Century Gothic" w:hAnsi="Century Gothic"/>
          <w:sz w:val="20"/>
        </w:rPr>
        <w:t xml:space="preserve">Three markets have two teams each (New York City; Los Angeles; San Francisco/Oakland/San Jose) while one team (Green Bay Packers) is in two </w:t>
      </w:r>
      <w:r w:rsidR="00EF582C">
        <w:rPr>
          <w:rFonts w:ascii="Century Gothic" w:hAnsi="Century Gothic"/>
          <w:sz w:val="20"/>
        </w:rPr>
        <w:t xml:space="preserve">TV DMAs </w:t>
      </w:r>
      <w:r w:rsidR="007B6312">
        <w:rPr>
          <w:rFonts w:ascii="Century Gothic" w:hAnsi="Century Gothic"/>
          <w:sz w:val="20"/>
        </w:rPr>
        <w:t>(Milwaukee; Green Bay</w:t>
      </w:r>
      <w:r w:rsidR="00EF582C">
        <w:rPr>
          <w:rFonts w:ascii="Century Gothic" w:hAnsi="Century Gothic"/>
          <w:sz w:val="20"/>
        </w:rPr>
        <w:t>/</w:t>
      </w:r>
      <w:r w:rsidR="007B6312">
        <w:rPr>
          <w:rFonts w:ascii="Century Gothic" w:hAnsi="Century Gothic"/>
          <w:sz w:val="20"/>
        </w:rPr>
        <w:t xml:space="preserve">Appleton).  </w:t>
      </w:r>
    </w:p>
    <w:p w:rsidR="007B6312" w:rsidRDefault="007B6312" w:rsidP="000F3D5A">
      <w:pPr>
        <w:pStyle w:val="NoSpacing"/>
        <w:rPr>
          <w:rFonts w:ascii="Century Gothic" w:hAnsi="Century Gothic"/>
          <w:sz w:val="20"/>
        </w:rPr>
      </w:pPr>
    </w:p>
    <w:p w:rsidR="0095652A" w:rsidRDefault="000F3D5A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Seven of the key markets are also NFL markets.  (For the purposes of this memorandum, Las Vegas remains a key market, but is not an NFL market until 2020.)  That leaves</w:t>
      </w:r>
      <w:r w:rsidR="007B6312">
        <w:rPr>
          <w:rFonts w:ascii="Century Gothic" w:hAnsi="Century Gothic"/>
          <w:sz w:val="20"/>
        </w:rPr>
        <w:t xml:space="preserve"> 23</w:t>
      </w:r>
      <w:r w:rsidR="004209EF">
        <w:rPr>
          <w:rFonts w:ascii="Century Gothic" w:hAnsi="Century Gothic"/>
          <w:sz w:val="20"/>
        </w:rPr>
        <w:t xml:space="preserve"> television DMAs for 12 affiliates.  Using the same 50-percent clearance metric for </w:t>
      </w:r>
      <w:r w:rsidR="00716CA5">
        <w:rPr>
          <w:rFonts w:ascii="Century Gothic" w:hAnsi="Century Gothic"/>
          <w:sz w:val="20"/>
        </w:rPr>
        <w:t>y</w:t>
      </w:r>
      <w:r w:rsidR="004209EF">
        <w:rPr>
          <w:rFonts w:ascii="Century Gothic" w:hAnsi="Century Gothic"/>
          <w:sz w:val="20"/>
        </w:rPr>
        <w:t xml:space="preserve">our key markets, Gow Media proposes an increase of $5,000.00 per month after securing </w:t>
      </w:r>
      <w:r w:rsidR="007B6312">
        <w:rPr>
          <w:rFonts w:ascii="Century Gothic" w:hAnsi="Century Gothic"/>
          <w:sz w:val="20"/>
        </w:rPr>
        <w:t xml:space="preserve">a minimum of 10-hours of programming </w:t>
      </w:r>
      <w:r w:rsidR="004209EF">
        <w:rPr>
          <w:rFonts w:ascii="Century Gothic" w:hAnsi="Century Gothic"/>
          <w:sz w:val="20"/>
        </w:rPr>
        <w:t xml:space="preserve">clearances on </w:t>
      </w:r>
      <w:r w:rsidR="007B6312">
        <w:rPr>
          <w:rFonts w:ascii="Century Gothic" w:hAnsi="Century Gothic"/>
          <w:sz w:val="20"/>
        </w:rPr>
        <w:t xml:space="preserve">11 stations in the 23 remaining NFL markets.  </w:t>
      </w:r>
    </w:p>
    <w:p w:rsidR="00830CAE" w:rsidRDefault="00830CAE" w:rsidP="000F3D5A">
      <w:pPr>
        <w:pStyle w:val="NoSpacing"/>
        <w:rPr>
          <w:rFonts w:ascii="Century Gothic" w:hAnsi="Century Gothic"/>
          <w:sz w:val="20"/>
        </w:rPr>
      </w:pPr>
    </w:p>
    <w:p w:rsidR="00830CAE" w:rsidRDefault="00830CAE" w:rsidP="000F3D5A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Key Markets (8)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10-Hours/Week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 Affiliates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+ $5,000.00/MO.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NFL Markets 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(23 TV DMAs)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10-Hours/Week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 Affiliates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+</w:t>
            </w:r>
            <w:r w:rsidR="000A4014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$5,000.00/MO.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E05BEE" w:rsidRDefault="00E05BEE" w:rsidP="000F3D5A">
      <w:pPr>
        <w:pStyle w:val="NoSpacing"/>
        <w:rPr>
          <w:rFonts w:ascii="Century Gothic" w:hAnsi="Century Gothic"/>
          <w:sz w:val="20"/>
        </w:rPr>
      </w:pPr>
    </w:p>
    <w:p w:rsidR="00B42738" w:rsidRDefault="00B42738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 rega</w:t>
      </w:r>
      <w:r w:rsidR="00E05BEE">
        <w:rPr>
          <w:rFonts w:ascii="Century Gothic" w:hAnsi="Century Gothic"/>
          <w:sz w:val="20"/>
        </w:rPr>
        <w:t xml:space="preserve">rds to advertising sales, with </w:t>
      </w:r>
      <w:r>
        <w:rPr>
          <w:rFonts w:ascii="Century Gothic" w:hAnsi="Century Gothic"/>
          <w:sz w:val="20"/>
        </w:rPr>
        <w:t xml:space="preserve">multiple </w:t>
      </w:r>
      <w:r w:rsidR="00E05BEE">
        <w:rPr>
          <w:rFonts w:ascii="Century Gothic" w:hAnsi="Century Gothic"/>
          <w:sz w:val="20"/>
        </w:rPr>
        <w:t>seller</w:t>
      </w:r>
      <w:r w:rsidR="00A370E6">
        <w:rPr>
          <w:rFonts w:ascii="Century Gothic" w:hAnsi="Century Gothic"/>
          <w:sz w:val="20"/>
        </w:rPr>
        <w:t xml:space="preserve">s, on-air products, and </w:t>
      </w:r>
      <w:r w:rsidR="00E05BEE">
        <w:rPr>
          <w:rFonts w:ascii="Century Gothic" w:hAnsi="Century Gothic"/>
          <w:sz w:val="20"/>
        </w:rPr>
        <w:t xml:space="preserve">advertising partners, we will require a variety of revenue-sharing models.  </w:t>
      </w:r>
    </w:p>
    <w:p w:rsidR="00B42738" w:rsidRDefault="00B42738" w:rsidP="000F3D5A">
      <w:pPr>
        <w:pStyle w:val="NoSpacing"/>
        <w:rPr>
          <w:rFonts w:ascii="Century Gothic" w:hAnsi="Century Gothic"/>
          <w:sz w:val="20"/>
        </w:rPr>
      </w:pPr>
    </w:p>
    <w:p w:rsidR="00F9325E" w:rsidRDefault="008C35B5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the VSiN Action Update, both </w:t>
      </w:r>
      <w:r w:rsidR="00752321">
        <w:rPr>
          <w:rFonts w:ascii="Century Gothic" w:hAnsi="Century Gothic"/>
          <w:sz w:val="20"/>
        </w:rPr>
        <w:t>Crossover Media and Focus 360 are selling “live” reads to the updates.  In that arrangement, when the sale originates with Crossover (VSiN), t</w:t>
      </w:r>
      <w:r w:rsidR="00E05BEE">
        <w:rPr>
          <w:rFonts w:ascii="Century Gothic" w:hAnsi="Century Gothic"/>
          <w:sz w:val="20"/>
        </w:rPr>
        <w:t xml:space="preserve">hen the split of net revenue is </w:t>
      </w:r>
      <w:r w:rsidR="00752321">
        <w:rPr>
          <w:rFonts w:ascii="Century Gothic" w:hAnsi="Century Gothic"/>
          <w:sz w:val="20"/>
        </w:rPr>
        <w:t xml:space="preserve">60-40 in favor of VSiN.  When the sale originates with Focus 360 (Gow Media), then the split of net revenue is 60-40 in favor of Gow Media.  </w:t>
      </w:r>
    </w:p>
    <w:p w:rsidR="00F9325E" w:rsidRDefault="00F9325E" w:rsidP="000F3D5A">
      <w:pPr>
        <w:pStyle w:val="NoSpacing"/>
        <w:rPr>
          <w:rFonts w:ascii="Century Gothic" w:hAnsi="Century Gothic"/>
          <w:sz w:val="20"/>
        </w:rPr>
      </w:pPr>
    </w:p>
    <w:p w:rsidR="00F52506" w:rsidRDefault="00E05BEE" w:rsidP="00E05BEE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When possible, Gow Media </w:t>
      </w:r>
      <w:r w:rsidR="00A370E6">
        <w:rPr>
          <w:rFonts w:ascii="Century Gothic" w:hAnsi="Century Gothic"/>
          <w:sz w:val="20"/>
        </w:rPr>
        <w:t>will encourage</w:t>
      </w:r>
      <w:r>
        <w:rPr>
          <w:rFonts w:ascii="Century Gothic" w:hAnsi="Century Gothic"/>
          <w:sz w:val="20"/>
        </w:rPr>
        <w:t xml:space="preserve"> </w:t>
      </w:r>
      <w:r w:rsidR="00F52506">
        <w:rPr>
          <w:rFonts w:ascii="Century Gothic" w:hAnsi="Century Gothic"/>
          <w:sz w:val="20"/>
        </w:rPr>
        <w:t>all adver</w:t>
      </w:r>
      <w:r>
        <w:rPr>
          <w:rFonts w:ascii="Century Gothic" w:hAnsi="Century Gothic"/>
          <w:sz w:val="20"/>
        </w:rPr>
        <w:t xml:space="preserve">tising partners </w:t>
      </w:r>
      <w:r w:rsidR="00F52506">
        <w:rPr>
          <w:rFonts w:ascii="Century Gothic" w:hAnsi="Century Gothic"/>
          <w:sz w:val="20"/>
        </w:rPr>
        <w:t>to include SB Nation Radio and “Sports Flash”</w:t>
      </w:r>
      <w:r w:rsidR="004457F7">
        <w:rPr>
          <w:rFonts w:ascii="Century Gothic" w:hAnsi="Century Gothic"/>
          <w:sz w:val="20"/>
        </w:rPr>
        <w:t xml:space="preserve"> inventory in proposals </w:t>
      </w:r>
      <w:r w:rsidR="006C2D36">
        <w:rPr>
          <w:rFonts w:ascii="Century Gothic" w:hAnsi="Century Gothic"/>
          <w:sz w:val="20"/>
        </w:rPr>
        <w:t>to potential advertisers</w:t>
      </w:r>
      <w:r w:rsidR="00C719F2">
        <w:rPr>
          <w:rFonts w:ascii="Century Gothic" w:hAnsi="Century Gothic"/>
          <w:sz w:val="20"/>
        </w:rPr>
        <w:t xml:space="preserve">.  Until we can establish </w:t>
      </w:r>
      <w:r>
        <w:rPr>
          <w:rFonts w:ascii="Century Gothic" w:hAnsi="Century Gothic"/>
          <w:sz w:val="20"/>
        </w:rPr>
        <w:t xml:space="preserve">the </w:t>
      </w:r>
      <w:r w:rsidR="00C719F2">
        <w:rPr>
          <w:rFonts w:ascii="Century Gothic" w:hAnsi="Century Gothic"/>
          <w:sz w:val="20"/>
        </w:rPr>
        <w:t>Point Spread Radio N</w:t>
      </w:r>
      <w:r w:rsidR="00F9325E">
        <w:rPr>
          <w:rFonts w:ascii="Century Gothic" w:hAnsi="Century Gothic"/>
          <w:sz w:val="20"/>
        </w:rPr>
        <w:t>etwork as a stand-alone advertising p</w:t>
      </w:r>
      <w:r>
        <w:rPr>
          <w:rFonts w:ascii="Century Gothic" w:hAnsi="Century Gothic"/>
          <w:sz w:val="20"/>
        </w:rPr>
        <w:t xml:space="preserve">latform, this </w:t>
      </w:r>
      <w:r w:rsidR="00F9325E">
        <w:rPr>
          <w:rFonts w:ascii="Century Gothic" w:hAnsi="Century Gothic"/>
          <w:sz w:val="20"/>
        </w:rPr>
        <w:t>“bundling”</w:t>
      </w:r>
      <w:r>
        <w:rPr>
          <w:rFonts w:ascii="Century Gothic" w:hAnsi="Century Gothic"/>
          <w:sz w:val="20"/>
        </w:rPr>
        <w:t xml:space="preserve"> of Gow Media’s radio network properties will increase audience delivery, inventory, and spot rates.  </w:t>
      </w:r>
    </w:p>
    <w:p w:rsidR="00E05BEE" w:rsidRDefault="00E05BEE" w:rsidP="000F3D5A">
      <w:pPr>
        <w:pStyle w:val="NoSpacing"/>
        <w:rPr>
          <w:rFonts w:ascii="Century Gothic" w:hAnsi="Century Gothic"/>
          <w:sz w:val="20"/>
        </w:rPr>
      </w:pPr>
    </w:p>
    <w:p w:rsidR="008E629B" w:rsidRDefault="001D1CC7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Using the Shell pitch as an example, let’s suppose that Crossover had the opportunity to pitch a client that wanted 15-second, 30-second, and 60-second commercials as part of their campaign.  Currently, Crossover has access to only the 15-second “live”</w:t>
      </w:r>
      <w:r w:rsidR="00D50ECB">
        <w:rPr>
          <w:rFonts w:ascii="Century Gothic" w:hAnsi="Century Gothic"/>
          <w:sz w:val="20"/>
        </w:rPr>
        <w:t xml:space="preserve"> reads in the Action Updates</w:t>
      </w:r>
      <w:r>
        <w:rPr>
          <w:rFonts w:ascii="Century Gothic" w:hAnsi="Century Gothic"/>
          <w:sz w:val="20"/>
        </w:rPr>
        <w:t xml:space="preserve">.  </w:t>
      </w:r>
      <w:r w:rsidR="00E05BEE">
        <w:rPr>
          <w:rFonts w:ascii="Century Gothic" w:hAnsi="Century Gothic"/>
          <w:sz w:val="20"/>
        </w:rPr>
        <w:t>Under this plan</w:t>
      </w:r>
      <w:r w:rsidR="00D50ECB">
        <w:rPr>
          <w:rFonts w:ascii="Century Gothic" w:hAnsi="Century Gothic"/>
          <w:sz w:val="20"/>
        </w:rPr>
        <w:t xml:space="preserve">, Crossover could “bundle” </w:t>
      </w:r>
      <w:r w:rsidR="00A370E6">
        <w:rPr>
          <w:rFonts w:ascii="Century Gothic" w:hAnsi="Century Gothic"/>
          <w:sz w:val="20"/>
        </w:rPr>
        <w:t>available inventory for the A</w:t>
      </w:r>
      <w:r w:rsidR="00D50ECB">
        <w:rPr>
          <w:rFonts w:ascii="Century Gothic" w:hAnsi="Century Gothic"/>
          <w:sz w:val="20"/>
        </w:rPr>
        <w:t>ction Upda</w:t>
      </w:r>
      <w:r w:rsidR="00E05BEE">
        <w:rPr>
          <w:rFonts w:ascii="Century Gothic" w:hAnsi="Century Gothic"/>
          <w:sz w:val="20"/>
        </w:rPr>
        <w:t xml:space="preserve">te, Point Spread Radio, </w:t>
      </w:r>
      <w:r w:rsidR="00D50ECB">
        <w:rPr>
          <w:rFonts w:ascii="Century Gothic" w:hAnsi="Century Gothic"/>
          <w:sz w:val="20"/>
        </w:rPr>
        <w:t xml:space="preserve">and Gow Media’s available </w:t>
      </w:r>
      <w:r w:rsidR="008E629B">
        <w:rPr>
          <w:rFonts w:ascii="Century Gothic" w:hAnsi="Century Gothic"/>
          <w:sz w:val="20"/>
        </w:rPr>
        <w:t xml:space="preserve">radio network </w:t>
      </w:r>
      <w:r w:rsidR="00E05BEE">
        <w:rPr>
          <w:rFonts w:ascii="Century Gothic" w:hAnsi="Century Gothic"/>
          <w:sz w:val="20"/>
        </w:rPr>
        <w:t xml:space="preserve">inventory into a single proposal.  </w:t>
      </w:r>
    </w:p>
    <w:p w:rsidR="008E629B" w:rsidRDefault="008E629B" w:rsidP="000F3D5A">
      <w:pPr>
        <w:pStyle w:val="NoSpacing"/>
        <w:rPr>
          <w:rFonts w:ascii="Century Gothic" w:hAnsi="Century Gothic"/>
          <w:sz w:val="20"/>
        </w:rPr>
      </w:pPr>
    </w:p>
    <w:p w:rsidR="00A370E6" w:rsidRDefault="008E629B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example, the net revenue allocated for the Action Updates would be distributed 60-40 in favor of VSiN; Gow Media would receive 30-percent of the net revenue for the spots that air on Point Spread Radio if the total monthly net revenue has exceeded $50,000 with 70-percent of the net revenue allocated to VSiN; and Gow would receive 70-percent of the net revenue for </w:t>
      </w:r>
      <w:r>
        <w:rPr>
          <w:rFonts w:ascii="Century Gothic" w:hAnsi="Century Gothic"/>
          <w:sz w:val="20"/>
        </w:rPr>
        <w:lastRenderedPageBreak/>
        <w:t>inventory allocated to air on Gow Media’s SB Nation Radio or “Sports Flash” networks</w:t>
      </w:r>
      <w:r w:rsidR="00A370E6">
        <w:rPr>
          <w:rFonts w:ascii="Century Gothic" w:hAnsi="Century Gothic"/>
          <w:sz w:val="20"/>
        </w:rPr>
        <w:t xml:space="preserve"> with VSiN receiving 30-percent of the net revenue</w:t>
      </w:r>
    </w:p>
    <w:p w:rsidR="00A370E6" w:rsidRDefault="00A370E6" w:rsidP="000F3D5A">
      <w:pPr>
        <w:pStyle w:val="NoSpacing"/>
        <w:rPr>
          <w:rFonts w:ascii="Century Gothic" w:hAnsi="Century Gothic"/>
          <w:sz w:val="20"/>
        </w:rPr>
      </w:pPr>
    </w:p>
    <w:p w:rsidR="008E629B" w:rsidRDefault="00A370E6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Here’s a breakdown of the revenue-sharing model:</w:t>
      </w:r>
      <w:r w:rsidR="008E629B">
        <w:rPr>
          <w:rFonts w:ascii="Century Gothic" w:hAnsi="Century Gothic"/>
          <w:sz w:val="20"/>
        </w:rPr>
        <w:t xml:space="preserve">  </w:t>
      </w:r>
    </w:p>
    <w:p w:rsidR="008B298C" w:rsidRDefault="008B298C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2006"/>
        <w:gridCol w:w="2074"/>
        <w:gridCol w:w="2074"/>
        <w:gridCol w:w="1711"/>
      </w:tblGrid>
      <w:tr w:rsidR="00C719F2" w:rsidTr="00437DA4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719F2" w:rsidRPr="00437DA4" w:rsidRDefault="00C719F2" w:rsidP="00C719F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437DA4">
              <w:rPr>
                <w:rFonts w:ascii="Century Gothic" w:hAnsi="Century Gothic"/>
                <w:b/>
                <w:sz w:val="20"/>
              </w:rPr>
              <w:t>PRODUCT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719F2" w:rsidRPr="00437DA4" w:rsidRDefault="00C719F2" w:rsidP="00C719F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437DA4">
              <w:rPr>
                <w:rFonts w:ascii="Century Gothic" w:hAnsi="Century Gothic"/>
                <w:b/>
                <w:sz w:val="20"/>
              </w:rPr>
              <w:t>VSiN Percentage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719F2" w:rsidRPr="00437DA4" w:rsidRDefault="00C719F2" w:rsidP="00C719F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437DA4">
              <w:rPr>
                <w:rFonts w:ascii="Century Gothic" w:hAnsi="Century Gothic"/>
                <w:b/>
                <w:sz w:val="20"/>
              </w:rPr>
              <w:t>Gow Percentage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C719F2" w:rsidTr="00437DA4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Action Update</w:t>
            </w: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Gow Media Sells</w:t>
            </w: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40% Net Revenue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60% Net Revenue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C719F2" w:rsidTr="00437DA4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Action Update</w:t>
            </w: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 Sells</w:t>
            </w: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60% Net Revenue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40% Net Revenue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C719F2" w:rsidTr="00437DA4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Point Spread Radio Network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716CA5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C719F2">
              <w:rPr>
                <w:rFonts w:ascii="Century Gothic" w:hAnsi="Century Gothic"/>
                <w:sz w:val="20"/>
              </w:rPr>
              <w:t>100% of net revenue not to exceed $50,000</w:t>
            </w:r>
            <w:r w:rsidR="00A370E6">
              <w:rPr>
                <w:rFonts w:ascii="Century Gothic" w:hAnsi="Century Gothic"/>
                <w:sz w:val="20"/>
              </w:rPr>
              <w:t>/month</w:t>
            </w:r>
          </w:p>
          <w:p w:rsidR="00C719F2" w:rsidRDefault="00716CA5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C719F2">
              <w:rPr>
                <w:rFonts w:ascii="Century Gothic" w:hAnsi="Century Gothic"/>
                <w:sz w:val="20"/>
              </w:rPr>
              <w:t>70% of net revenue that exceeds $50,000</w:t>
            </w:r>
            <w:r w:rsidR="00A370E6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30% of net revenue that exceeds $50,000</w:t>
            </w:r>
            <w:r w:rsidR="00A370E6">
              <w:rPr>
                <w:rFonts w:ascii="Century Gothic" w:hAnsi="Century Gothic"/>
                <w:sz w:val="20"/>
              </w:rPr>
              <w:t>/month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C719F2" w:rsidTr="00437DA4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Bundled Inventory</w:t>
            </w: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 Clients airing spots on SBNR</w:t>
            </w:r>
          </w:p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30% Net Revenue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19F2" w:rsidRDefault="00C719F2" w:rsidP="00437D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70% Net Revenue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719F2" w:rsidRDefault="00C719F2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ED60AB" w:rsidRDefault="00ED60AB" w:rsidP="000F3D5A">
      <w:pPr>
        <w:pStyle w:val="NoSpacing"/>
        <w:rPr>
          <w:rFonts w:ascii="Century Gothic" w:hAnsi="Century Gothic"/>
          <w:sz w:val="20"/>
        </w:rPr>
      </w:pPr>
    </w:p>
    <w:p w:rsidR="00EF582C" w:rsidRDefault="00EF582C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part of our agreement, Gow Media agrees to air 30-second remnant commercials that promote the VSiN brand and sell its products.  The commercials will include a promo code that is dedicated to Gow Media.  For each sale, Gow Media will receive </w:t>
      </w:r>
      <w:r w:rsidR="00C80C33">
        <w:rPr>
          <w:rFonts w:ascii="Century Gothic" w:hAnsi="Century Gothic"/>
          <w:sz w:val="20"/>
        </w:rPr>
        <w:t>whatever is the standard compensation for VSiN’s revenue-sharing partners.</w:t>
      </w:r>
      <w:r>
        <w:rPr>
          <w:rFonts w:ascii="Century Gothic" w:hAnsi="Century Gothic"/>
          <w:sz w:val="20"/>
        </w:rPr>
        <w:t xml:space="preserve">  </w:t>
      </w:r>
    </w:p>
    <w:p w:rsidR="00ED60AB" w:rsidRDefault="00ED60AB" w:rsidP="000F3D5A">
      <w:pPr>
        <w:pStyle w:val="NoSpacing"/>
        <w:rPr>
          <w:rFonts w:ascii="Century Gothic" w:hAnsi="Century Gothic"/>
          <w:sz w:val="20"/>
        </w:rPr>
      </w:pPr>
    </w:p>
    <w:p w:rsidR="00ED60AB" w:rsidRDefault="00ED60AB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 addition, Gow Media will work to schedule regular guest appearances for VSiN hosts on SB Nation Radio Shows to discus</w:t>
      </w:r>
      <w:r w:rsidR="00842FBC">
        <w:rPr>
          <w:rFonts w:ascii="Century Gothic" w:hAnsi="Century Gothic"/>
          <w:sz w:val="20"/>
        </w:rPr>
        <w:t xml:space="preserve">s the betting news of the day and promote VSiN on our digital platforms.  </w:t>
      </w:r>
    </w:p>
    <w:p w:rsidR="00DD49AC" w:rsidRDefault="00DD49AC" w:rsidP="000F3D5A">
      <w:pPr>
        <w:pStyle w:val="NoSpacing"/>
        <w:rPr>
          <w:rFonts w:ascii="Century Gothic" w:hAnsi="Century Gothic"/>
          <w:sz w:val="20"/>
        </w:rPr>
      </w:pPr>
    </w:p>
    <w:p w:rsidR="00DD49AC" w:rsidRDefault="00DD49AC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Gow Media agrees to a one-year contract with a 90-day opt-out clause for either party.</w:t>
      </w:r>
    </w:p>
    <w:p w:rsidR="00E05BEE" w:rsidRDefault="00E05BEE" w:rsidP="000F3D5A">
      <w:pPr>
        <w:pStyle w:val="NoSpacing"/>
        <w:rPr>
          <w:rFonts w:ascii="Century Gothic" w:hAnsi="Century Gothic"/>
          <w:sz w:val="20"/>
        </w:rPr>
      </w:pPr>
    </w:p>
    <w:p w:rsidR="00E05BEE" w:rsidRDefault="00E05BEE" w:rsidP="000F3D5A">
      <w:pPr>
        <w:pStyle w:val="NoSpacing"/>
        <w:rPr>
          <w:rFonts w:ascii="Century Gothic" w:hAnsi="Century Gothic"/>
          <w:sz w:val="20"/>
        </w:rPr>
      </w:pPr>
    </w:p>
    <w:sectPr w:rsidR="00E0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1"/>
    <w:rsid w:val="000938AE"/>
    <w:rsid w:val="000A4014"/>
    <w:rsid w:val="000F3D5A"/>
    <w:rsid w:val="001946A3"/>
    <w:rsid w:val="001A14FA"/>
    <w:rsid w:val="001D1CC7"/>
    <w:rsid w:val="001F517B"/>
    <w:rsid w:val="00274D5C"/>
    <w:rsid w:val="00276E7B"/>
    <w:rsid w:val="002F22AC"/>
    <w:rsid w:val="0033635B"/>
    <w:rsid w:val="004209EF"/>
    <w:rsid w:val="00437DA4"/>
    <w:rsid w:val="004457F7"/>
    <w:rsid w:val="005A1D2E"/>
    <w:rsid w:val="005E2A6E"/>
    <w:rsid w:val="00697931"/>
    <w:rsid w:val="006A30D3"/>
    <w:rsid w:val="006C2D36"/>
    <w:rsid w:val="00705BDC"/>
    <w:rsid w:val="00716B43"/>
    <w:rsid w:val="00716CA5"/>
    <w:rsid w:val="00736685"/>
    <w:rsid w:val="00752321"/>
    <w:rsid w:val="007B6312"/>
    <w:rsid w:val="007C5CBE"/>
    <w:rsid w:val="00830CAE"/>
    <w:rsid w:val="00835D65"/>
    <w:rsid w:val="00836D53"/>
    <w:rsid w:val="00842FBC"/>
    <w:rsid w:val="00893B0F"/>
    <w:rsid w:val="008B298C"/>
    <w:rsid w:val="008C35B5"/>
    <w:rsid w:val="008E629B"/>
    <w:rsid w:val="00935D97"/>
    <w:rsid w:val="009426C5"/>
    <w:rsid w:val="0095652A"/>
    <w:rsid w:val="009C17B4"/>
    <w:rsid w:val="00A370E6"/>
    <w:rsid w:val="00B42738"/>
    <w:rsid w:val="00B67733"/>
    <w:rsid w:val="00C719F2"/>
    <w:rsid w:val="00C80C33"/>
    <w:rsid w:val="00CA05F9"/>
    <w:rsid w:val="00D50ECB"/>
    <w:rsid w:val="00DD49AC"/>
    <w:rsid w:val="00E05BEE"/>
    <w:rsid w:val="00EC7608"/>
    <w:rsid w:val="00ED60AB"/>
    <w:rsid w:val="00EF582C"/>
    <w:rsid w:val="00F44FAE"/>
    <w:rsid w:val="00F52506"/>
    <w:rsid w:val="00F9325E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931"/>
    <w:pPr>
      <w:spacing w:after="0" w:line="240" w:lineRule="auto"/>
    </w:pPr>
  </w:style>
  <w:style w:type="table" w:styleId="TableGrid">
    <w:name w:val="Table Grid"/>
    <w:basedOn w:val="TableNormal"/>
    <w:uiPriority w:val="59"/>
    <w:rsid w:val="0089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931"/>
    <w:pPr>
      <w:spacing w:after="0" w:line="240" w:lineRule="auto"/>
    </w:pPr>
  </w:style>
  <w:style w:type="table" w:styleId="TableGrid">
    <w:name w:val="Table Grid"/>
    <w:basedOn w:val="TableNormal"/>
    <w:uiPriority w:val="59"/>
    <w:rsid w:val="0089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14</cp:revision>
  <cp:lastPrinted>2019-05-01T16:14:00Z</cp:lastPrinted>
  <dcterms:created xsi:type="dcterms:W3CDTF">2019-04-30T14:36:00Z</dcterms:created>
  <dcterms:modified xsi:type="dcterms:W3CDTF">2019-05-01T18:58:00Z</dcterms:modified>
</cp:coreProperties>
</file>